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lang w:val="en-US" w:eastAsia="zh-CN"/>
        </w:rPr>
        <w:t>附件2</w:t>
      </w:r>
    </w:p>
    <w:p>
      <w:pPr>
        <w:jc w:val="center"/>
        <w:rPr>
          <w:rFonts w:ascii="黑体" w:hAnsi="黑体" w:eastAsia="黑体"/>
          <w:color w:val="auto"/>
          <w:szCs w:val="20"/>
        </w:rPr>
      </w:pPr>
      <w:bookmarkStart w:id="0" w:name="_GoBack"/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bidi="ar"/>
        </w:rPr>
        <w:t>三年行动计划工作目标明细</w:t>
      </w:r>
    </w:p>
    <w:bookmarkEnd w:id="0"/>
    <w:tbl>
      <w:tblPr>
        <w:tblStyle w:val="6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116"/>
        <w:gridCol w:w="3261"/>
        <w:gridCol w:w="1537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工作目标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完成时间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工作指标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牵头部门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lang w:bidi="ar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机构养老高质量发展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  <w:t>培育不少于1个有品牌、有影响力、规模较大的本土养老产业集团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区财政局、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区国有资产监督管理局、区市场监督管理局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，镇（街道）、中国兴业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2023年底前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  <w:t>登记、备案运营的养老床位增加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  <w:t>000张，其中公办床位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  <w:t>00张（含公建国营）、民办床位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  <w:t>00张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区财政局、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区国有资产监督管理局、区市场监督管理局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，镇（街道）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2023年底前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全区兜底性床位达到700张、普惠性床位达到3000张。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区财政局、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区国有资产监督管理局、区市场监督管理局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，镇（街道）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社区居家养老服务完善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2021年底前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实现居家养老服务社会化运营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镇（街道），中国兴业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2021年底前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特殊困难老年人月探访率达到100％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区财政局，中国兴业、镇（街道）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2022年底前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每个镇（街道）建有1家社区居家综合性养老服务机构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区财政局、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区国有资产监督管理局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区住房城乡建设和水利局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、镇（街道）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2022年底前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全区新建住宅小区配建养老服务设施100％达标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区住房城乡建设和水利局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市自然资源局南海分局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2023年底前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社区幸福院覆盖率达到100%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区财政局、镇（街道）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2023年底前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健全社区幸福院可持续发展模式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区市场监督管理局、镇（街道）、中国兴业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2023年底前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长者配餐服务全覆盖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区财政局、镇（街道）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探索创新医养结合模式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2022年底前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  <w:t>建成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1家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  <w:t>医养结合示范性养老机构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2023年底前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  <w:t>全区养老机构的医养结合率达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100%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区卫生健康局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2023年底前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bidi="ar"/>
              </w:rPr>
              <w:t>护理型床位占比不低于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55%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2023年底前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打造社区医养结合的试点示范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区卫生健康局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2023年底前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探索设立“家庭照护床位”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区卫生健康局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市医疗保障局南海分局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、区民政局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区社会保险基金管理局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养老行业服务质量和满意度不断提升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2021年上半年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建立联席会议制度，落实相关考评机制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区发展改革局、区教育局、市公安局南海分局、区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局、区人力资源和社会保障局、区社会保险基金管理局、市自然资源局南海分局、市生态环境局南海分局、区住房城乡建设和水利局、区卫生健康局、区国有资产监督管理局、区市场监督管理局、市医疗保障局南海分局、区政务服务数据管理局、区应急管理局、区消防救援大队、区税务局、区残联，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2021年底前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建立跨部门协同监管机制、养老机构日常巡查制度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区民政局、区市场监督管理局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2020—2022年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每年培训养老护理、康复、管理等从业人员500人次以上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2023年底前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100％以上养老机构符合《养老机构服务质量基本规范》国家标准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养老服务领域的安全隐患得到全面解决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2021年底前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建立食品采购、储存、加工、制作信息台账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区市场监督管理局、镇（街道）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2021年年底前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探索建立养老机构食品安全可溯源机制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区市场监督管理局、镇（街道）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2021年年底前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完善养老机构突发公共卫生事件应急处置预案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区卫生健康局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、镇（街道）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2022年底前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建立健全应急预案体系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应急管理局、镇（街道）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年底前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实现100%的养老机构符合《养老机构服务安全基本规范》国家标准</w:t>
            </w:r>
          </w:p>
        </w:tc>
        <w:tc>
          <w:tcPr>
            <w:tcW w:w="15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区民政局</w:t>
            </w:r>
          </w:p>
        </w:tc>
        <w:tc>
          <w:tcPr>
            <w:tcW w:w="19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镇（街道）</w:t>
            </w:r>
          </w:p>
        </w:tc>
      </w:tr>
    </w:tbl>
    <w:p>
      <w:pPr>
        <w:bidi w:val="0"/>
        <w:rPr>
          <w:color w:val="auto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32"/>
                            </w:rPr>
                            <w:t>18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32"/>
                      </w:rPr>
                      <w:t>18</w:t>
                    </w:r>
                    <w:r>
                      <w:rPr>
                        <w:rFonts w:hint="eastAsia" w:ascii="宋体" w:hAnsi="宋体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924D1"/>
    <w:rsid w:val="69F924D1"/>
    <w:rsid w:val="755339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360" w:lineRule="auto"/>
      <w:ind w:firstLine="200" w:firstLineChars="200"/>
      <w:outlineLvl w:val="2"/>
    </w:pPr>
    <w:rPr>
      <w:rFonts w:eastAsia="楷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网格型1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2021-05-11T08:01:00Z</dcterms:created>
  <dc:creator>区可欣</dc:creator>
  <cp:lastModifiedBy>区可欣</cp:lastModifiedBy>
  <dcterms:modified xsi:type="dcterms:W3CDTF">2021-05-11T08:02:27Z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