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附件3</w:t>
      </w:r>
    </w:p>
    <w:p>
      <w:pPr>
        <w:spacing w:line="560" w:lineRule="exact"/>
        <w:jc w:val="center"/>
        <w:rPr>
          <w:rFonts w:hint="eastAsia" w:ascii="方正小标宋简体" w:eastAsia="方正小标宋简体"/>
          <w:color w:val="auto"/>
          <w:sz w:val="44"/>
          <w:szCs w:val="44"/>
          <w:lang w:eastAsia="zh-CN"/>
        </w:rPr>
      </w:pPr>
      <w:bookmarkStart w:id="0" w:name="_GoBack"/>
      <w:r>
        <w:rPr>
          <w:rFonts w:hint="eastAsia" w:ascii="方正小标宋简体" w:eastAsia="方正小标宋简体"/>
          <w:color w:val="auto"/>
          <w:sz w:val="44"/>
          <w:szCs w:val="44"/>
          <w:lang w:eastAsia="zh-CN"/>
        </w:rPr>
        <w:t>《</w:t>
      </w:r>
      <w:r>
        <w:rPr>
          <w:rFonts w:hint="eastAsia" w:ascii="方正小标宋简体" w:eastAsia="方正小标宋简体"/>
          <w:color w:val="auto"/>
          <w:sz w:val="44"/>
          <w:szCs w:val="44"/>
        </w:rPr>
        <w:t>南海区养老服务体系建设提升三年行动计划（2021—2023年）（</w:t>
      </w:r>
      <w:r>
        <w:rPr>
          <w:rFonts w:hint="eastAsia" w:ascii="方正小标宋简体" w:eastAsia="方正小标宋简体"/>
          <w:color w:val="auto"/>
          <w:sz w:val="44"/>
          <w:szCs w:val="44"/>
          <w:lang w:val="en-US" w:eastAsia="zh-CN"/>
        </w:rPr>
        <w:t>征求公众意见</w:t>
      </w:r>
      <w:r>
        <w:rPr>
          <w:rFonts w:hint="eastAsia" w:ascii="方正小标宋简体" w:eastAsia="方正小标宋简体"/>
          <w:color w:val="auto"/>
          <w:sz w:val="44"/>
          <w:szCs w:val="44"/>
        </w:rPr>
        <w:t>稿）</w:t>
      </w:r>
      <w:r>
        <w:rPr>
          <w:rFonts w:hint="eastAsia" w:ascii="方正小标宋简体" w:eastAsia="方正小标宋简体"/>
          <w:color w:val="auto"/>
          <w:sz w:val="44"/>
          <w:szCs w:val="44"/>
          <w:lang w:eastAsia="zh-CN"/>
        </w:rPr>
        <w:t>》</w:t>
      </w:r>
    </w:p>
    <w:p>
      <w:pPr>
        <w:spacing w:line="560" w:lineRule="exact"/>
        <w:jc w:val="center"/>
        <w:rPr>
          <w:rFonts w:hint="default" w:ascii="方正小标宋简体" w:eastAsia="方正小标宋简体"/>
          <w:color w:val="auto"/>
          <w:sz w:val="44"/>
          <w:szCs w:val="44"/>
          <w:lang w:val="en-US" w:eastAsia="zh-CN"/>
        </w:rPr>
      </w:pPr>
      <w:r>
        <w:rPr>
          <w:rFonts w:hint="eastAsia" w:ascii="方正小标宋简体" w:eastAsia="方正小标宋简体"/>
          <w:color w:val="auto"/>
          <w:sz w:val="44"/>
          <w:szCs w:val="44"/>
          <w:lang w:val="en-US" w:eastAsia="zh-CN"/>
        </w:rPr>
        <w:t>起草说明</w:t>
      </w:r>
    </w:p>
    <w:bookmarkEnd w:id="0"/>
    <w:p>
      <w:pPr>
        <w:spacing w:line="560" w:lineRule="exact"/>
        <w:ind w:firstLine="640" w:firstLineChars="200"/>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现就《南海区养老服务体系建设提升三年行动计划（2021—2023年）（征求意见稿）》</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以下称“三年行动计划”）</w:t>
      </w:r>
      <w:r>
        <w:rPr>
          <w:rFonts w:hint="eastAsia" w:ascii="仿宋_GB2312" w:eastAsia="仿宋_GB2312"/>
          <w:color w:val="auto"/>
          <w:sz w:val="32"/>
          <w:szCs w:val="32"/>
        </w:rPr>
        <w:t>制定情况和主要内容解读如下：</w:t>
      </w:r>
    </w:p>
    <w:p>
      <w:pPr>
        <w:pStyle w:val="3"/>
        <w:ind w:firstLine="640"/>
        <w:rPr>
          <w:rFonts w:hint="eastAsia"/>
          <w:color w:val="auto"/>
        </w:rPr>
      </w:pPr>
      <w:r>
        <w:rPr>
          <w:rFonts w:hint="eastAsia"/>
          <w:color w:val="auto"/>
          <w:lang w:val="en-US" w:eastAsia="zh-CN"/>
        </w:rPr>
        <w:t>一、《三年行动计划》起草背景</w:t>
      </w: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rPr>
        <w:t>近年来，省委、省政府深入贯彻落实习近平总书记关于养老服务工作重要论述，认真落实党中央和国务院决策部署，积极构建以居家为基础、社区为依托、机构为补充、医养相结合的养老服务体系。</w:t>
      </w:r>
      <w:r>
        <w:rPr>
          <w:rFonts w:hint="eastAsia" w:ascii="仿宋_GB2312" w:eastAsia="仿宋_GB2312"/>
          <w:color w:val="auto"/>
          <w:sz w:val="32"/>
          <w:szCs w:val="32"/>
          <w:lang w:val="en-US" w:eastAsia="zh-CN"/>
        </w:rPr>
        <w:t>2019年11月20日，省委省政府印发了</w:t>
      </w:r>
      <w:r>
        <w:rPr>
          <w:rFonts w:hint="eastAsia" w:ascii="仿宋_GB2312" w:eastAsia="仿宋_GB2312"/>
          <w:color w:val="auto"/>
          <w:sz w:val="32"/>
          <w:szCs w:val="32"/>
        </w:rPr>
        <w:t>《广东省人民政府办公厅关于印发广东省加快推进养老服务发展若干措施的通知》（粤府办〔2019〕23号）</w:t>
      </w:r>
      <w:r>
        <w:rPr>
          <w:rFonts w:hint="eastAsia" w:ascii="仿宋_GB2312" w:eastAsia="仿宋_GB2312"/>
          <w:color w:val="auto"/>
          <w:sz w:val="32"/>
          <w:szCs w:val="32"/>
          <w:lang w:eastAsia="zh-CN"/>
        </w:rPr>
        <w:t>；2020年7月31日，</w:t>
      </w:r>
      <w:r>
        <w:rPr>
          <w:rFonts w:hint="eastAsia" w:ascii="仿宋_GB2312" w:eastAsia="仿宋_GB2312"/>
          <w:color w:val="auto"/>
          <w:sz w:val="32"/>
          <w:szCs w:val="32"/>
          <w:lang w:val="en-US" w:eastAsia="zh-CN"/>
        </w:rPr>
        <w:t>市委市政府印发了</w:t>
      </w:r>
      <w:r>
        <w:rPr>
          <w:rFonts w:hint="eastAsia" w:ascii="仿宋_GB2312" w:eastAsia="仿宋_GB2312"/>
          <w:color w:val="auto"/>
          <w:sz w:val="32"/>
          <w:szCs w:val="32"/>
        </w:rPr>
        <w:t>《佛山市人民政府办公室关于印发佛山市养老服务体系建设提升三年行动计划（2020—2022年）的通知》（佛府办函〔2020〕103号）文件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为贯彻落实上级文件精神，着力解决我区养老服务存在的设施供给不平衡、护理能力相对薄弱、社会化发展不充分、人才队伍建设优待加强等一些难点和痛点，</w:t>
      </w:r>
      <w:r>
        <w:rPr>
          <w:rFonts w:hint="eastAsia" w:ascii="仿宋_GB2312" w:eastAsia="仿宋_GB2312"/>
          <w:color w:val="auto"/>
          <w:sz w:val="32"/>
          <w:szCs w:val="32"/>
          <w:lang w:eastAsia="zh-CN"/>
        </w:rPr>
        <w:t>进一步</w:t>
      </w:r>
      <w:r>
        <w:rPr>
          <w:rFonts w:hint="eastAsia" w:ascii="仿宋_GB2312" w:eastAsia="仿宋_GB2312"/>
          <w:color w:val="auto"/>
          <w:sz w:val="32"/>
          <w:szCs w:val="32"/>
          <w:lang w:val="en-US" w:eastAsia="zh-CN"/>
        </w:rPr>
        <w:t>建立健全</w:t>
      </w:r>
      <w:r>
        <w:rPr>
          <w:rFonts w:hint="eastAsia" w:ascii="仿宋_GB2312" w:eastAsia="仿宋_GB2312"/>
          <w:color w:val="auto"/>
          <w:sz w:val="32"/>
          <w:szCs w:val="32"/>
          <w:lang w:eastAsia="zh-CN"/>
        </w:rPr>
        <w:t>我区</w:t>
      </w:r>
      <w:r>
        <w:rPr>
          <w:rFonts w:hint="eastAsia" w:ascii="仿宋_GB2312" w:eastAsia="仿宋_GB2312"/>
          <w:color w:val="auto"/>
          <w:sz w:val="32"/>
          <w:szCs w:val="32"/>
          <w:lang w:val="en-US" w:eastAsia="zh-CN"/>
        </w:rPr>
        <w:t>养老服务体系</w:t>
      </w:r>
      <w:r>
        <w:rPr>
          <w:rFonts w:hint="eastAsia" w:ascii="仿宋_GB2312" w:eastAsia="仿宋_GB2312"/>
          <w:color w:val="auto"/>
          <w:sz w:val="32"/>
          <w:szCs w:val="32"/>
          <w:lang w:eastAsia="zh-CN"/>
        </w:rPr>
        <w:t>，强化基本服务，发展多元供给，繁荣服务市场，提升服务品质，进一步增强老年人的幸福感和获得感，更好地满足人民群众日益增长的美好生活需要，</w:t>
      </w:r>
      <w:r>
        <w:rPr>
          <w:rFonts w:hint="eastAsia" w:ascii="仿宋_GB2312" w:eastAsia="仿宋_GB2312"/>
          <w:color w:val="auto"/>
          <w:sz w:val="32"/>
          <w:szCs w:val="32"/>
          <w:lang w:val="en-US" w:eastAsia="zh-CN"/>
        </w:rPr>
        <w:t>我局代区政府起草了</w:t>
      </w:r>
      <w:r>
        <w:rPr>
          <w:rFonts w:hint="eastAsia" w:ascii="仿宋_GB2312" w:eastAsia="仿宋_GB2312"/>
          <w:color w:val="auto"/>
          <w:sz w:val="32"/>
          <w:szCs w:val="32"/>
        </w:rPr>
        <w:t>《南海区养老服务体系建设提升三年行动计划（2021—2023年）</w:t>
      </w:r>
      <w:r>
        <w:rPr>
          <w:rFonts w:hint="eastAsia" w:ascii="仿宋_GB2312" w:eastAsia="仿宋_GB2312"/>
          <w:color w:val="auto"/>
          <w:sz w:val="32"/>
          <w:szCs w:val="32"/>
          <w:lang w:val="en-US" w:eastAsia="zh-CN"/>
        </w:rPr>
        <w:t>》。</w:t>
      </w:r>
    </w:p>
    <w:p>
      <w:pPr>
        <w:pStyle w:val="3"/>
        <w:ind w:firstLine="640"/>
        <w:rPr>
          <w:rFonts w:hint="eastAsia"/>
          <w:color w:val="auto"/>
          <w:lang w:val="en-US" w:eastAsia="zh-CN"/>
        </w:rPr>
      </w:pPr>
      <w:r>
        <w:rPr>
          <w:rFonts w:hint="eastAsia"/>
          <w:color w:val="auto"/>
          <w:lang w:val="en-US" w:eastAsia="zh-CN"/>
        </w:rPr>
        <w:t>二、《三年行动计划》起草过程</w:t>
      </w:r>
    </w:p>
    <w:p>
      <w:pPr>
        <w:ind w:firstLine="640" w:firstLineChars="200"/>
        <w:rPr>
          <w:rFonts w:ascii="宋体" w:hAnsi="宋体" w:eastAsia="仿宋_GB2312" w:cs="Times New Roman"/>
          <w:color w:val="auto"/>
          <w:sz w:val="32"/>
          <w:szCs w:val="32"/>
        </w:rPr>
      </w:pPr>
      <w:r>
        <w:rPr>
          <w:rFonts w:hint="eastAsia" w:ascii="仿宋_GB2312" w:eastAsia="仿宋_GB2312"/>
          <w:color w:val="auto"/>
          <w:sz w:val="32"/>
          <w:szCs w:val="32"/>
          <w:lang w:val="en-US" w:eastAsia="zh-CN"/>
        </w:rPr>
        <w:t>区民政局在</w:t>
      </w:r>
      <w:r>
        <w:rPr>
          <w:rFonts w:hint="eastAsia" w:ascii="仿宋_GB2312" w:hAnsi="仿宋_GB2312" w:eastAsia="仿宋_GB2312" w:cs="仿宋_GB2312"/>
          <w:color w:val="auto"/>
          <w:kern w:val="2"/>
          <w:sz w:val="32"/>
          <w:szCs w:val="32"/>
          <w:lang w:val="en-US" w:eastAsia="zh-CN" w:bidi="ar-SA"/>
        </w:rPr>
        <w:t>组织相关人员</w:t>
      </w:r>
      <w:r>
        <w:rPr>
          <w:rFonts w:hint="eastAsia" w:ascii="仿宋_GB2312" w:eastAsia="仿宋_GB2312"/>
          <w:color w:val="auto"/>
          <w:sz w:val="32"/>
          <w:szCs w:val="32"/>
          <w:lang w:val="en-US" w:eastAsia="zh-CN"/>
        </w:rPr>
        <w:t>学习法律法规和充分开展调研的基础上，按照《国务院关于推进养老服务发展的意见》（国办发〔2019〕5号）、《佛山市人民政府办公室关于印发佛山市养老服务体系建设提升三年行动计划（2020—2022年）的通知》（佛府办函〔2020〕103号）等文件精神，全面落实上级对推进养老服务发展的要求，起草形成《三年行动计划》征求意见稿，</w:t>
      </w:r>
      <w:r>
        <w:rPr>
          <w:rFonts w:hint="eastAsia" w:ascii="宋体" w:hAnsi="宋体" w:eastAsia="仿宋_GB2312" w:cs="Times New Roman"/>
          <w:color w:val="auto"/>
          <w:sz w:val="32"/>
          <w:szCs w:val="32"/>
        </w:rPr>
        <w:t>多次</w:t>
      </w:r>
      <w:r>
        <w:rPr>
          <w:rFonts w:ascii="宋体" w:hAnsi="宋体" w:eastAsia="仿宋_GB2312" w:cs="Times New Roman"/>
          <w:color w:val="auto"/>
          <w:sz w:val="32"/>
          <w:szCs w:val="32"/>
        </w:rPr>
        <w:t>对</w:t>
      </w:r>
      <w:r>
        <w:rPr>
          <w:rFonts w:hint="eastAsia" w:ascii="宋体" w:hAnsi="宋体" w:eastAsia="仿宋_GB2312" w:cs="Times New Roman"/>
          <w:color w:val="auto"/>
          <w:sz w:val="32"/>
          <w:szCs w:val="32"/>
        </w:rPr>
        <w:t>《三年行动计划》进行</w:t>
      </w:r>
      <w:r>
        <w:rPr>
          <w:rFonts w:ascii="宋体" w:hAnsi="宋体" w:eastAsia="仿宋_GB2312" w:cs="Times New Roman"/>
          <w:color w:val="auto"/>
          <w:sz w:val="32"/>
          <w:szCs w:val="32"/>
        </w:rPr>
        <w:t>讨论修改，</w:t>
      </w:r>
      <w:r>
        <w:rPr>
          <w:rFonts w:hint="eastAsia" w:ascii="宋体" w:hAnsi="宋体" w:eastAsia="仿宋_GB2312" w:cs="Times New Roman"/>
          <w:color w:val="auto"/>
          <w:sz w:val="32"/>
          <w:szCs w:val="32"/>
        </w:rPr>
        <w:t>并</w:t>
      </w:r>
      <w:r>
        <w:rPr>
          <w:rFonts w:ascii="宋体" w:hAnsi="宋体" w:eastAsia="仿宋_GB2312" w:cs="Times New Roman"/>
          <w:color w:val="auto"/>
          <w:sz w:val="32"/>
          <w:szCs w:val="32"/>
        </w:rPr>
        <w:t>征求了</w:t>
      </w:r>
      <w:r>
        <w:rPr>
          <w:rFonts w:hint="eastAsia" w:ascii="宋体" w:hAnsi="宋体" w:eastAsia="仿宋_GB2312" w:cs="Times New Roman"/>
          <w:color w:val="auto"/>
          <w:sz w:val="32"/>
          <w:szCs w:val="32"/>
        </w:rPr>
        <w:t>区</w:t>
      </w:r>
      <w:r>
        <w:rPr>
          <w:rFonts w:ascii="宋体" w:hAnsi="宋体" w:eastAsia="仿宋_GB2312" w:cs="Times New Roman"/>
          <w:color w:val="auto"/>
          <w:sz w:val="32"/>
          <w:szCs w:val="32"/>
        </w:rPr>
        <w:t>有关部门、各个镇（</w:t>
      </w:r>
      <w:r>
        <w:rPr>
          <w:rFonts w:hint="eastAsia" w:ascii="宋体" w:hAnsi="宋体" w:eastAsia="仿宋_GB2312" w:cs="Times New Roman"/>
          <w:color w:val="auto"/>
          <w:sz w:val="32"/>
          <w:szCs w:val="32"/>
        </w:rPr>
        <w:t>街道</w:t>
      </w:r>
      <w:r>
        <w:rPr>
          <w:rFonts w:ascii="宋体" w:hAnsi="宋体" w:eastAsia="仿宋_GB2312" w:cs="Times New Roman"/>
          <w:color w:val="auto"/>
          <w:sz w:val="32"/>
          <w:szCs w:val="32"/>
        </w:rPr>
        <w:t>）</w:t>
      </w:r>
      <w:r>
        <w:rPr>
          <w:rFonts w:hint="eastAsia" w:ascii="宋体" w:hAnsi="宋体" w:eastAsia="仿宋_GB2312" w:cs="Times New Roman"/>
          <w:color w:val="auto"/>
          <w:sz w:val="32"/>
          <w:szCs w:val="32"/>
        </w:rPr>
        <w:t>的</w:t>
      </w:r>
      <w:r>
        <w:rPr>
          <w:rFonts w:ascii="宋体" w:hAnsi="宋体" w:eastAsia="仿宋_GB2312" w:cs="Times New Roman"/>
          <w:color w:val="auto"/>
          <w:sz w:val="32"/>
          <w:szCs w:val="32"/>
        </w:rPr>
        <w:t>意见，</w:t>
      </w:r>
      <w:r>
        <w:rPr>
          <w:rFonts w:hint="eastAsia" w:ascii="宋体" w:hAnsi="宋体" w:eastAsia="仿宋_GB2312" w:cs="Times New Roman"/>
          <w:color w:val="auto"/>
          <w:sz w:val="32"/>
          <w:szCs w:val="32"/>
        </w:rPr>
        <w:t>讨论研究</w:t>
      </w:r>
      <w:r>
        <w:rPr>
          <w:rFonts w:ascii="宋体" w:hAnsi="宋体" w:eastAsia="仿宋_GB2312" w:cs="Times New Roman"/>
          <w:color w:val="auto"/>
          <w:sz w:val="32"/>
          <w:szCs w:val="32"/>
        </w:rPr>
        <w:t>意见的采纳情况并进行修改完善</w:t>
      </w:r>
      <w:r>
        <w:rPr>
          <w:rFonts w:hint="eastAsia" w:ascii="宋体" w:hAnsi="宋体" w:eastAsia="仿宋_GB2312" w:cs="Times New Roman"/>
          <w:color w:val="auto"/>
          <w:sz w:val="32"/>
          <w:szCs w:val="32"/>
        </w:rPr>
        <w:t>，</w:t>
      </w:r>
      <w:r>
        <w:rPr>
          <w:rFonts w:ascii="宋体" w:hAnsi="宋体" w:eastAsia="仿宋_GB2312" w:cs="Times New Roman"/>
          <w:color w:val="auto"/>
          <w:sz w:val="32"/>
          <w:szCs w:val="32"/>
        </w:rPr>
        <w:t>形成</w:t>
      </w:r>
      <w:r>
        <w:rPr>
          <w:rFonts w:hint="eastAsia" w:ascii="宋体" w:hAnsi="宋体" w:eastAsia="仿宋_GB2312" w:cs="Times New Roman"/>
          <w:color w:val="auto"/>
          <w:sz w:val="32"/>
          <w:szCs w:val="32"/>
        </w:rPr>
        <w:t>代拟</w:t>
      </w:r>
      <w:r>
        <w:rPr>
          <w:rFonts w:ascii="宋体" w:hAnsi="宋体" w:eastAsia="仿宋_GB2312" w:cs="Times New Roman"/>
          <w:color w:val="auto"/>
          <w:sz w:val="32"/>
          <w:szCs w:val="32"/>
        </w:rPr>
        <w:t>稿。</w:t>
      </w:r>
      <w:r>
        <w:rPr>
          <w:rFonts w:hint="eastAsia" w:ascii="宋体" w:hAnsi="宋体" w:eastAsia="仿宋_GB2312" w:cs="Times New Roman"/>
          <w:color w:val="auto"/>
          <w:sz w:val="32"/>
          <w:szCs w:val="32"/>
        </w:rPr>
        <w:t>《三年行动计划》遵循</w:t>
      </w:r>
      <w:r>
        <w:rPr>
          <w:rFonts w:ascii="宋体" w:hAnsi="宋体" w:eastAsia="仿宋_GB2312" w:cs="Times New Roman"/>
          <w:color w:val="auto"/>
          <w:sz w:val="32"/>
          <w:szCs w:val="32"/>
        </w:rPr>
        <w:t>国家法律法规精神</w:t>
      </w:r>
      <w:r>
        <w:rPr>
          <w:rFonts w:hint="eastAsia" w:ascii="宋体" w:hAnsi="宋体" w:eastAsia="仿宋_GB2312" w:cs="Times New Roman"/>
          <w:color w:val="auto"/>
          <w:sz w:val="32"/>
          <w:szCs w:val="32"/>
        </w:rPr>
        <w:t>、符合</w:t>
      </w:r>
      <w:r>
        <w:rPr>
          <w:rFonts w:ascii="宋体" w:hAnsi="宋体" w:eastAsia="仿宋_GB2312" w:cs="Times New Roman"/>
          <w:color w:val="auto"/>
          <w:sz w:val="32"/>
          <w:szCs w:val="32"/>
        </w:rPr>
        <w:t>我区实际情况、</w:t>
      </w:r>
      <w:r>
        <w:rPr>
          <w:rFonts w:hint="eastAsia" w:ascii="宋体" w:hAnsi="宋体" w:eastAsia="仿宋_GB2312" w:cs="Times New Roman"/>
          <w:color w:val="auto"/>
          <w:sz w:val="32"/>
          <w:szCs w:val="32"/>
        </w:rPr>
        <w:t>充分</w:t>
      </w:r>
      <w:r>
        <w:rPr>
          <w:rFonts w:ascii="宋体" w:hAnsi="宋体" w:eastAsia="仿宋_GB2312" w:cs="Times New Roman"/>
          <w:color w:val="auto"/>
          <w:sz w:val="32"/>
          <w:szCs w:val="32"/>
        </w:rPr>
        <w:t>采纳区</w:t>
      </w:r>
      <w:r>
        <w:rPr>
          <w:rFonts w:hint="eastAsia" w:ascii="宋体" w:hAnsi="宋体" w:eastAsia="仿宋_GB2312" w:cs="Times New Roman"/>
          <w:color w:val="auto"/>
          <w:sz w:val="32"/>
          <w:szCs w:val="32"/>
        </w:rPr>
        <w:t>有关</w:t>
      </w:r>
      <w:r>
        <w:rPr>
          <w:rFonts w:ascii="宋体" w:hAnsi="宋体" w:eastAsia="仿宋_GB2312" w:cs="Times New Roman"/>
          <w:color w:val="auto"/>
          <w:sz w:val="32"/>
          <w:szCs w:val="32"/>
        </w:rPr>
        <w:t>部门和镇（</w:t>
      </w:r>
      <w:r>
        <w:rPr>
          <w:rFonts w:hint="eastAsia" w:ascii="宋体" w:hAnsi="宋体" w:eastAsia="仿宋_GB2312" w:cs="Times New Roman"/>
          <w:color w:val="auto"/>
          <w:sz w:val="32"/>
          <w:szCs w:val="32"/>
        </w:rPr>
        <w:t>街道</w:t>
      </w:r>
      <w:r>
        <w:rPr>
          <w:rFonts w:ascii="宋体" w:hAnsi="宋体" w:eastAsia="仿宋_GB2312" w:cs="Times New Roman"/>
          <w:color w:val="auto"/>
          <w:sz w:val="32"/>
          <w:szCs w:val="32"/>
        </w:rPr>
        <w:t>）</w:t>
      </w:r>
      <w:r>
        <w:rPr>
          <w:rFonts w:hint="eastAsia" w:ascii="宋体" w:hAnsi="宋体" w:eastAsia="仿宋_GB2312" w:cs="Times New Roman"/>
          <w:color w:val="auto"/>
          <w:sz w:val="32"/>
          <w:szCs w:val="32"/>
        </w:rPr>
        <w:t>的</w:t>
      </w:r>
      <w:r>
        <w:rPr>
          <w:rFonts w:ascii="宋体" w:hAnsi="宋体" w:eastAsia="仿宋_GB2312" w:cs="Times New Roman"/>
          <w:color w:val="auto"/>
          <w:sz w:val="32"/>
          <w:szCs w:val="32"/>
        </w:rPr>
        <w:t>意见</w:t>
      </w:r>
      <w:r>
        <w:rPr>
          <w:rFonts w:hint="eastAsia" w:ascii="宋体" w:hAnsi="宋体" w:eastAsia="仿宋_GB2312" w:cs="Times New Roman"/>
          <w:color w:val="auto"/>
          <w:sz w:val="32"/>
          <w:szCs w:val="32"/>
        </w:rPr>
        <w:t>建议，</w:t>
      </w:r>
      <w:r>
        <w:rPr>
          <w:rFonts w:hint="eastAsia" w:ascii="仿宋_GB2312" w:hAnsi="宋体" w:eastAsia="仿宋_GB2312"/>
          <w:color w:val="auto"/>
          <w:sz w:val="32"/>
          <w:szCs w:val="32"/>
        </w:rPr>
        <w:t>汲取了广大基层干部实践经验，是集体智慧的结晶。</w:t>
      </w:r>
    </w:p>
    <w:p>
      <w:pPr>
        <w:pStyle w:val="3"/>
        <w:ind w:firstLine="640"/>
        <w:rPr>
          <w:rFonts w:hint="eastAsia"/>
          <w:color w:val="auto"/>
          <w:lang w:val="en-US" w:eastAsia="zh-CN"/>
        </w:rPr>
      </w:pPr>
      <w:r>
        <w:rPr>
          <w:rFonts w:hint="eastAsia"/>
          <w:color w:val="auto"/>
          <w:lang w:val="en-US" w:eastAsia="zh-CN"/>
        </w:rPr>
        <w:t>三、《三年行动计划》的主要内容</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《三年行动计划》共分</w:t>
      </w:r>
      <w:r>
        <w:rPr>
          <w:rFonts w:hint="eastAsia" w:ascii="仿宋_GB2312" w:eastAsia="仿宋_GB2312"/>
          <w:color w:val="auto"/>
          <w:sz w:val="32"/>
          <w:szCs w:val="32"/>
          <w:lang w:val="en-US" w:eastAsia="zh-CN"/>
        </w:rPr>
        <w:t>四</w:t>
      </w:r>
      <w:r>
        <w:rPr>
          <w:rFonts w:hint="eastAsia" w:ascii="仿宋_GB2312" w:eastAsia="仿宋_GB2312"/>
          <w:color w:val="auto"/>
          <w:sz w:val="32"/>
          <w:szCs w:val="32"/>
        </w:rPr>
        <w:t>个部分，第一部分为</w:t>
      </w:r>
      <w:r>
        <w:rPr>
          <w:rFonts w:hint="eastAsia" w:ascii="仿宋_GB2312" w:eastAsia="仿宋_GB2312"/>
          <w:color w:val="auto"/>
          <w:sz w:val="32"/>
          <w:szCs w:val="32"/>
          <w:lang w:val="en-US" w:eastAsia="zh-CN"/>
        </w:rPr>
        <w:t>指导思想</w:t>
      </w:r>
      <w:r>
        <w:rPr>
          <w:rFonts w:hint="eastAsia" w:ascii="仿宋_GB2312" w:eastAsia="仿宋_GB2312"/>
          <w:color w:val="auto"/>
          <w:sz w:val="32"/>
          <w:szCs w:val="32"/>
          <w:lang w:eastAsia="zh-CN"/>
        </w:rPr>
        <w:t>，</w:t>
      </w:r>
      <w:r>
        <w:rPr>
          <w:rFonts w:hint="eastAsia" w:ascii="仿宋_GB2312" w:eastAsia="仿宋_GB2312"/>
          <w:color w:val="auto"/>
          <w:sz w:val="32"/>
          <w:szCs w:val="32"/>
        </w:rPr>
        <w:t>第</w:t>
      </w: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部分为</w:t>
      </w:r>
      <w:r>
        <w:rPr>
          <w:rFonts w:hint="eastAsia" w:ascii="仿宋_GB2312" w:eastAsia="仿宋_GB2312"/>
          <w:color w:val="auto"/>
          <w:sz w:val="32"/>
          <w:szCs w:val="32"/>
          <w:lang w:val="en-US" w:eastAsia="zh-CN"/>
        </w:rPr>
        <w:t>工作</w:t>
      </w:r>
      <w:r>
        <w:rPr>
          <w:rFonts w:hint="eastAsia" w:ascii="仿宋_GB2312" w:eastAsia="仿宋_GB2312"/>
          <w:color w:val="auto"/>
          <w:sz w:val="32"/>
          <w:szCs w:val="32"/>
        </w:rPr>
        <w:t>目标，第</w:t>
      </w: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部分为重点任务，第</w:t>
      </w:r>
      <w:r>
        <w:rPr>
          <w:rFonts w:hint="eastAsia" w:ascii="仿宋_GB2312" w:eastAsia="仿宋_GB2312"/>
          <w:color w:val="auto"/>
          <w:sz w:val="32"/>
          <w:szCs w:val="32"/>
          <w:lang w:val="en-US" w:eastAsia="zh-CN"/>
        </w:rPr>
        <w:t>四</w:t>
      </w:r>
      <w:r>
        <w:rPr>
          <w:rFonts w:hint="eastAsia" w:ascii="仿宋_GB2312" w:eastAsia="仿宋_GB2312"/>
          <w:color w:val="auto"/>
          <w:sz w:val="32"/>
          <w:szCs w:val="32"/>
        </w:rPr>
        <w:t>部分为</w:t>
      </w:r>
      <w:r>
        <w:rPr>
          <w:rFonts w:hint="eastAsia" w:ascii="仿宋_GB2312" w:eastAsia="仿宋_GB2312"/>
          <w:color w:val="auto"/>
          <w:sz w:val="32"/>
          <w:szCs w:val="32"/>
          <w:lang w:val="en-US" w:eastAsia="zh-CN"/>
        </w:rPr>
        <w:t>保障措施</w:t>
      </w:r>
      <w:r>
        <w:rPr>
          <w:rFonts w:hint="eastAsia" w:ascii="仿宋_GB2312" w:eastAsia="仿宋_GB2312"/>
          <w:color w:val="auto"/>
          <w:sz w:val="32"/>
          <w:szCs w:val="32"/>
        </w:rPr>
        <w:t>。</w:t>
      </w:r>
    </w:p>
    <w:p>
      <w:pPr>
        <w:pStyle w:val="2"/>
        <w:ind w:firstLine="640"/>
        <w:rPr>
          <w:rFonts w:hint="eastAsia" w:asciiTheme="minorHAnsi" w:hAnsiTheme="minorHAnsi"/>
          <w:b w:val="0"/>
          <w:bCs w:val="0"/>
          <w:color w:val="auto"/>
        </w:rPr>
      </w:pPr>
      <w:r>
        <w:rPr>
          <w:rFonts w:hint="eastAsia" w:asciiTheme="minorHAnsi" w:hAnsiTheme="minorHAnsi"/>
          <w:b w:val="0"/>
          <w:bCs w:val="0"/>
          <w:color w:val="auto"/>
        </w:rPr>
        <w:t>（一）总体目标</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《三年行动计划》提出，2021年底前，完善政府购买居家养老服务政策，推进居家养老服务社会化运营。全面建立社区居家老年人定期探访制度，特殊困难老年人月探访率达到100％</w:t>
      </w:r>
      <w:r>
        <w:rPr>
          <w:rFonts w:hint="eastAsia" w:ascii="仿宋_GB2312" w:eastAsia="仿宋_GB2312"/>
          <w:color w:val="auto"/>
          <w:sz w:val="32"/>
          <w:szCs w:val="32"/>
          <w:lang w:eastAsia="zh-CN"/>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底前，每个镇（街道）建有1家社区居家综合性养老服务机构。全区新建住宅小区配建养老服务设施100％达标，建成社区15分钟养老服务圈。实现100%的养老机构符合《养老机构服务安全基本规范》国家标准。全区建成1家医养结合示范性养老机构</w:t>
      </w:r>
      <w:r>
        <w:rPr>
          <w:rFonts w:hint="eastAsia" w:ascii="仿宋_GB2312" w:eastAsia="仿宋_GB2312"/>
          <w:color w:val="auto"/>
          <w:sz w:val="32"/>
          <w:szCs w:val="32"/>
          <w:lang w:eastAsia="zh-CN"/>
        </w:rPr>
        <w:t>。</w:t>
      </w:r>
      <w:r>
        <w:rPr>
          <w:rFonts w:hint="eastAsia" w:ascii="仿宋_GB2312" w:eastAsia="仿宋_GB2312"/>
          <w:color w:val="auto"/>
          <w:sz w:val="32"/>
          <w:szCs w:val="32"/>
        </w:rPr>
        <w:t>培育不少于1个有品牌、有影响力、规模较大的</w:t>
      </w:r>
      <w:r>
        <w:rPr>
          <w:rFonts w:ascii="仿宋_GB2312" w:eastAsia="仿宋_GB2312"/>
          <w:color w:val="auto"/>
          <w:sz w:val="32"/>
          <w:szCs w:val="32"/>
        </w:rPr>
        <w:t>本土养老产业集团</w:t>
      </w:r>
      <w:r>
        <w:rPr>
          <w:rFonts w:hint="eastAsia" w:ascii="仿宋_GB2312" w:eastAsia="仿宋_GB2312"/>
          <w:color w:val="auto"/>
          <w:sz w:val="32"/>
          <w:szCs w:val="32"/>
          <w:lang w:eastAsia="zh-CN"/>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年底前，全区民政部门登记、备案运营的养老床位增加</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000张，其中新增公办床位1</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00张（含公建国营）、民办床位1</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00张</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全区</w:t>
      </w:r>
      <w:r>
        <w:rPr>
          <w:rFonts w:hint="eastAsia" w:ascii="仿宋_GB2312" w:eastAsia="仿宋_GB2312"/>
          <w:color w:val="auto"/>
          <w:sz w:val="32"/>
          <w:szCs w:val="32"/>
        </w:rPr>
        <w:t>兜底性床位达到700张、普惠性床位达到3000张。80%的养老机构符合星级养老机构标准。全区养老机构的医养结合率达100%，明确护理型床位建设标准，全区护理型床位占比不低于55%</w:t>
      </w:r>
      <w:r>
        <w:rPr>
          <w:rFonts w:hint="eastAsia" w:ascii="仿宋_GB2312" w:eastAsia="仿宋_GB2312"/>
          <w:color w:val="auto"/>
          <w:sz w:val="32"/>
          <w:szCs w:val="32"/>
          <w:lang w:eastAsia="zh-CN"/>
        </w:rPr>
        <w:t>；</w:t>
      </w:r>
      <w:r>
        <w:rPr>
          <w:rFonts w:hint="eastAsia" w:ascii="仿宋_GB2312" w:eastAsia="仿宋_GB2312"/>
          <w:color w:val="auto"/>
          <w:sz w:val="32"/>
          <w:szCs w:val="32"/>
        </w:rPr>
        <w:t>社区幸福院覆盖率达到100%</w:t>
      </w:r>
      <w:r>
        <w:rPr>
          <w:rFonts w:hint="eastAsia" w:ascii="仿宋_GB2312" w:eastAsia="仿宋_GB2312"/>
          <w:color w:val="auto"/>
          <w:sz w:val="32"/>
          <w:szCs w:val="32"/>
          <w:lang w:eastAsia="zh-CN"/>
        </w:rPr>
        <w:t>，</w:t>
      </w:r>
      <w:r>
        <w:rPr>
          <w:rFonts w:hint="eastAsia" w:ascii="仿宋_GB2312" w:eastAsia="仿宋_GB2312"/>
          <w:color w:val="auto"/>
          <w:sz w:val="32"/>
          <w:szCs w:val="32"/>
        </w:rPr>
        <w:t>依托社区幸福院，推广建设健康幸福小站，促进优质养老产品向社区延伸</w:t>
      </w:r>
      <w:r>
        <w:rPr>
          <w:rFonts w:hint="eastAsia" w:ascii="仿宋_GB2312" w:eastAsia="仿宋_GB2312"/>
          <w:color w:val="auto"/>
          <w:sz w:val="32"/>
          <w:szCs w:val="32"/>
          <w:lang w:eastAsia="zh-CN"/>
        </w:rPr>
        <w:t>，</w:t>
      </w:r>
      <w:r>
        <w:rPr>
          <w:rFonts w:hint="eastAsia" w:ascii="仿宋_GB2312" w:eastAsia="仿宋_GB2312"/>
          <w:color w:val="auto"/>
          <w:sz w:val="32"/>
          <w:szCs w:val="32"/>
        </w:rPr>
        <w:t>加大区域性长者配餐中心建设力度，实现长者配餐服务全覆盖。</w:t>
      </w:r>
    </w:p>
    <w:p>
      <w:pPr>
        <w:pStyle w:val="2"/>
        <w:ind w:firstLine="640"/>
        <w:rPr>
          <w:rFonts w:hint="eastAsia" w:asciiTheme="minorHAnsi" w:hAnsiTheme="minorHAnsi"/>
          <w:b w:val="0"/>
          <w:bCs w:val="0"/>
          <w:color w:val="auto"/>
        </w:rPr>
      </w:pPr>
      <w:r>
        <w:rPr>
          <w:rFonts w:hint="eastAsia" w:asciiTheme="minorHAnsi" w:hAnsiTheme="minorHAnsi"/>
          <w:b w:val="0"/>
          <w:bCs w:val="0"/>
          <w:color w:val="auto"/>
        </w:rPr>
        <w:t>（二）重点任务</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《三年行动计划》从</w:t>
      </w:r>
      <w:r>
        <w:rPr>
          <w:rFonts w:hint="eastAsia" w:ascii="仿宋_GB2312" w:eastAsia="仿宋_GB2312"/>
          <w:color w:val="auto"/>
          <w:sz w:val="32"/>
          <w:szCs w:val="32"/>
          <w:lang w:val="en-US" w:eastAsia="zh-CN"/>
        </w:rPr>
        <w:t>养老服务提供、</w:t>
      </w:r>
      <w:r>
        <w:rPr>
          <w:rFonts w:hint="eastAsia" w:ascii="仿宋_GB2312" w:eastAsia="仿宋_GB2312"/>
          <w:color w:val="auto"/>
          <w:sz w:val="32"/>
          <w:szCs w:val="32"/>
        </w:rPr>
        <w:t>规划布局、设施建设、</w:t>
      </w:r>
      <w:r>
        <w:rPr>
          <w:rFonts w:hint="eastAsia" w:ascii="仿宋_GB2312" w:eastAsia="仿宋_GB2312"/>
          <w:color w:val="auto"/>
          <w:sz w:val="32"/>
          <w:szCs w:val="32"/>
          <w:lang w:val="en-US" w:eastAsia="zh-CN"/>
        </w:rPr>
        <w:t>人才</w:t>
      </w:r>
      <w:r>
        <w:rPr>
          <w:rFonts w:hint="eastAsia" w:ascii="仿宋_GB2312" w:eastAsia="仿宋_GB2312"/>
          <w:color w:val="auto"/>
          <w:sz w:val="32"/>
          <w:szCs w:val="32"/>
        </w:rPr>
        <w:t>队伍建设</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综合监管、服务标准、政策扶持</w:t>
      </w:r>
      <w:r>
        <w:rPr>
          <w:rFonts w:hint="eastAsia" w:ascii="仿宋_GB2312" w:eastAsia="仿宋_GB2312"/>
          <w:color w:val="auto"/>
          <w:sz w:val="32"/>
          <w:szCs w:val="32"/>
        </w:rPr>
        <w:t>等方面入手，提出了</w:t>
      </w:r>
      <w:r>
        <w:rPr>
          <w:rFonts w:hint="eastAsia" w:ascii="仿宋_GB2312" w:eastAsia="仿宋_GB2312"/>
          <w:color w:val="auto"/>
          <w:sz w:val="32"/>
          <w:szCs w:val="32"/>
          <w:lang w:val="en-US" w:eastAsia="zh-CN"/>
        </w:rPr>
        <w:t>构建完善</w:t>
      </w:r>
      <w:r>
        <w:rPr>
          <w:rFonts w:hint="eastAsia" w:ascii="仿宋_GB2312" w:eastAsia="仿宋_GB2312"/>
          <w:color w:val="auto"/>
          <w:sz w:val="32"/>
          <w:szCs w:val="32"/>
        </w:rPr>
        <w:t>的“</w:t>
      </w:r>
      <w:r>
        <w:rPr>
          <w:rFonts w:hint="eastAsia" w:ascii="仿宋_GB2312" w:eastAsia="仿宋_GB2312"/>
          <w:color w:val="auto"/>
          <w:sz w:val="32"/>
          <w:szCs w:val="32"/>
          <w:lang w:val="en-US" w:eastAsia="zh-CN"/>
        </w:rPr>
        <w:t>九</w:t>
      </w:r>
      <w:r>
        <w:rPr>
          <w:rFonts w:hint="eastAsia" w:ascii="仿宋_GB2312" w:eastAsia="仿宋_GB2312"/>
          <w:color w:val="auto"/>
          <w:sz w:val="32"/>
          <w:szCs w:val="32"/>
        </w:rPr>
        <w:t>大</w:t>
      </w:r>
      <w:r>
        <w:rPr>
          <w:rFonts w:hint="eastAsia" w:ascii="仿宋_GB2312" w:eastAsia="仿宋_GB2312"/>
          <w:color w:val="auto"/>
          <w:sz w:val="32"/>
          <w:szCs w:val="32"/>
          <w:lang w:val="en-US" w:eastAsia="zh-CN"/>
        </w:rPr>
        <w:t>体系</w:t>
      </w:r>
      <w:r>
        <w:rPr>
          <w:rFonts w:hint="eastAsia" w:ascii="仿宋_GB2312" w:eastAsia="仿宋_GB2312"/>
          <w:color w:val="auto"/>
          <w:sz w:val="32"/>
          <w:szCs w:val="32"/>
        </w:rPr>
        <w:t>”，全面推进我区养老新发展。</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一是完善养老服务体系。二是构建医养结合体系。三是建设信息技术体系。四是完善综合监管体系。五是健全人才培育体系。六是完善设施配套体系。七是建设服务标准体系。八是完善政策扶持体系。九是培育养老产业体系</w:t>
      </w:r>
      <w:r>
        <w:rPr>
          <w:rFonts w:hint="eastAsia" w:ascii="仿宋_GB2312" w:eastAsia="仿宋_GB2312"/>
          <w:color w:val="auto"/>
          <w:sz w:val="32"/>
          <w:szCs w:val="32"/>
          <w:lang w:eastAsia="zh-CN"/>
        </w:rPr>
        <w:t>。</w:t>
      </w:r>
    </w:p>
    <w:p>
      <w:pPr>
        <w:pStyle w:val="2"/>
        <w:ind w:firstLine="640"/>
        <w:rPr>
          <w:rFonts w:hint="eastAsia" w:asciiTheme="minorHAnsi" w:hAnsiTheme="minorHAnsi"/>
          <w:b w:val="0"/>
          <w:bCs w:val="0"/>
          <w:color w:val="auto"/>
          <w:lang w:eastAsia="zh-CN"/>
        </w:rPr>
      </w:pPr>
      <w:r>
        <w:rPr>
          <w:rFonts w:hint="eastAsia" w:asciiTheme="minorHAnsi" w:hAnsiTheme="minorHAnsi"/>
          <w:b w:val="0"/>
          <w:bCs w:val="0"/>
          <w:color w:val="auto"/>
          <w:lang w:eastAsia="zh-CN"/>
        </w:rPr>
        <w:t>（</w:t>
      </w:r>
      <w:r>
        <w:rPr>
          <w:rFonts w:hint="eastAsia" w:asciiTheme="minorHAnsi" w:hAnsiTheme="minorHAnsi"/>
          <w:b w:val="0"/>
          <w:bCs w:val="0"/>
          <w:color w:val="auto"/>
          <w:lang w:val="en-US" w:eastAsia="zh-CN"/>
        </w:rPr>
        <w:t>三</w:t>
      </w:r>
      <w:r>
        <w:rPr>
          <w:rFonts w:hint="eastAsia" w:asciiTheme="minorHAnsi" w:hAnsiTheme="minorHAnsi"/>
          <w:b w:val="0"/>
          <w:bCs w:val="0"/>
          <w:color w:val="auto"/>
          <w:lang w:eastAsia="zh-CN"/>
        </w:rPr>
        <w:t>）三年行动计划核心指标提升目标分解表</w:t>
      </w:r>
    </w:p>
    <w:p>
      <w:pPr>
        <w:spacing w:line="560" w:lineRule="exact"/>
        <w:ind w:firstLine="640" w:firstLineChars="200"/>
        <w:rPr>
          <w:rFonts w:hint="eastAsia" w:ascii="仿宋_GB2312" w:eastAsia="仿宋_GB2312"/>
          <w:color w:val="auto"/>
          <w:sz w:val="32"/>
          <w:szCs w:val="32"/>
          <w:vertAlign w:val="baseline"/>
          <w:lang w:eastAsia="zh-CN"/>
        </w:rPr>
      </w:pPr>
      <w:r>
        <w:rPr>
          <w:rFonts w:hint="eastAsia" w:ascii="仿宋_GB2312" w:eastAsia="仿宋_GB2312"/>
          <w:color w:val="auto"/>
          <w:sz w:val="32"/>
          <w:szCs w:val="32"/>
          <w:lang w:eastAsia="zh-CN"/>
        </w:rPr>
        <w:t>根据《三年行动计划》的总体目标，对核心指标</w:t>
      </w:r>
      <w:r>
        <w:rPr>
          <w:rFonts w:hint="eastAsia" w:ascii="仿宋_GB2312" w:eastAsia="仿宋_GB2312"/>
          <w:color w:val="auto"/>
          <w:sz w:val="32"/>
          <w:szCs w:val="32"/>
          <w:lang w:val="en-US" w:eastAsia="zh-CN"/>
        </w:rPr>
        <w:t>按</w:t>
      </w:r>
      <w:r>
        <w:rPr>
          <w:rFonts w:hint="eastAsia" w:ascii="仿宋_GB2312" w:eastAsia="仿宋_GB2312"/>
          <w:color w:val="auto"/>
          <w:sz w:val="32"/>
          <w:szCs w:val="32"/>
          <w:lang w:eastAsia="zh-CN"/>
        </w:rPr>
        <w:t>年度进行逐年分解，具体量化。</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469"/>
        <w:gridCol w:w="1546"/>
        <w:gridCol w:w="1560"/>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5"/>
          </w:tcPr>
          <w:p>
            <w:pPr>
              <w:keepNext w:val="0"/>
              <w:keepLines w:val="0"/>
              <w:widowControl/>
              <w:suppressLineNumbers w:val="0"/>
              <w:jc w:val="center"/>
              <w:textAlignment w:val="center"/>
              <w:rPr>
                <w:rFonts w:hint="default"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32"/>
                <w:szCs w:val="32"/>
                <w:u w:val="none"/>
                <w:lang w:val="en-US" w:eastAsia="zh-CN" w:bidi="ar"/>
              </w:rPr>
              <w:t>三年行动计划核心指标提升目标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Pr>
          <w:p>
            <w:pPr>
              <w:keepNext w:val="0"/>
              <w:keepLines w:val="0"/>
              <w:widowControl/>
              <w:suppressLineNumbers w:val="0"/>
              <w:jc w:val="center"/>
              <w:textAlignment w:val="center"/>
              <w:rPr>
                <w:rFonts w:hint="default" w:ascii="宋体" w:hAnsi="宋体" w:eastAsia="宋体" w:cs="宋体"/>
                <w:b/>
                <w:bCs w:val="0"/>
                <w:i w:val="0"/>
                <w:color w:val="auto"/>
                <w:kern w:val="0"/>
                <w:sz w:val="28"/>
                <w:szCs w:val="28"/>
                <w:u w:val="none"/>
                <w:lang w:val="en-US" w:eastAsia="zh-CN" w:bidi="ar"/>
              </w:rPr>
            </w:pPr>
            <w:r>
              <w:rPr>
                <w:rFonts w:hint="eastAsia" w:ascii="宋体" w:hAnsi="宋体" w:cs="宋体"/>
                <w:b/>
                <w:bCs w:val="0"/>
                <w:i w:val="0"/>
                <w:color w:val="auto"/>
                <w:kern w:val="0"/>
                <w:sz w:val="28"/>
                <w:szCs w:val="28"/>
                <w:u w:val="none"/>
                <w:lang w:val="en-US" w:eastAsia="zh-CN" w:bidi="ar"/>
              </w:rPr>
              <w:t>序号</w:t>
            </w:r>
          </w:p>
        </w:tc>
        <w:tc>
          <w:tcPr>
            <w:tcW w:w="3469" w:type="dxa"/>
          </w:tcPr>
          <w:p>
            <w:pPr>
              <w:keepNext w:val="0"/>
              <w:keepLines w:val="0"/>
              <w:widowControl/>
              <w:suppressLineNumbers w:val="0"/>
              <w:jc w:val="center"/>
              <w:textAlignment w:val="center"/>
              <w:rPr>
                <w:rFonts w:hint="default" w:ascii="宋体" w:hAnsi="宋体" w:eastAsia="宋体" w:cs="宋体"/>
                <w:b/>
                <w:bCs w:val="0"/>
                <w:i w:val="0"/>
                <w:color w:val="auto"/>
                <w:kern w:val="0"/>
                <w:sz w:val="28"/>
                <w:szCs w:val="28"/>
                <w:u w:val="none"/>
                <w:lang w:val="en-US" w:eastAsia="zh-CN" w:bidi="ar"/>
              </w:rPr>
            </w:pPr>
            <w:r>
              <w:rPr>
                <w:rFonts w:hint="eastAsia" w:ascii="宋体" w:hAnsi="宋体" w:cs="宋体"/>
                <w:b/>
                <w:bCs w:val="0"/>
                <w:i w:val="0"/>
                <w:color w:val="auto"/>
                <w:kern w:val="0"/>
                <w:sz w:val="28"/>
                <w:szCs w:val="28"/>
                <w:u w:val="none"/>
                <w:lang w:val="en-US" w:eastAsia="zh-CN" w:bidi="ar"/>
              </w:rPr>
              <w:t>指标项</w:t>
            </w:r>
          </w:p>
        </w:tc>
        <w:tc>
          <w:tcPr>
            <w:tcW w:w="1546" w:type="dxa"/>
          </w:tcPr>
          <w:p>
            <w:pPr>
              <w:keepNext w:val="0"/>
              <w:keepLines w:val="0"/>
              <w:widowControl/>
              <w:suppressLineNumbers w:val="0"/>
              <w:jc w:val="center"/>
              <w:textAlignment w:val="center"/>
              <w:rPr>
                <w:rFonts w:hint="default" w:ascii="宋体" w:hAnsi="宋体" w:eastAsia="宋体" w:cs="宋体"/>
                <w:b/>
                <w:bCs w:val="0"/>
                <w:i w:val="0"/>
                <w:color w:val="auto"/>
                <w:kern w:val="0"/>
                <w:sz w:val="28"/>
                <w:szCs w:val="28"/>
                <w:u w:val="none"/>
                <w:lang w:val="en-US" w:eastAsia="zh-CN" w:bidi="ar"/>
              </w:rPr>
            </w:pPr>
            <w:r>
              <w:rPr>
                <w:rFonts w:hint="eastAsia" w:ascii="宋体" w:hAnsi="宋体" w:cs="宋体"/>
                <w:b/>
                <w:bCs w:val="0"/>
                <w:i w:val="0"/>
                <w:color w:val="auto"/>
                <w:kern w:val="0"/>
                <w:sz w:val="28"/>
                <w:szCs w:val="28"/>
                <w:u w:val="none"/>
                <w:lang w:val="en-US" w:eastAsia="zh-CN" w:bidi="ar"/>
              </w:rPr>
              <w:t>2021年底</w:t>
            </w:r>
          </w:p>
        </w:tc>
        <w:tc>
          <w:tcPr>
            <w:tcW w:w="1560" w:type="dxa"/>
          </w:tcPr>
          <w:p>
            <w:pPr>
              <w:keepNext w:val="0"/>
              <w:keepLines w:val="0"/>
              <w:widowControl/>
              <w:suppressLineNumbers w:val="0"/>
              <w:jc w:val="center"/>
              <w:textAlignment w:val="center"/>
              <w:rPr>
                <w:rFonts w:hint="default" w:ascii="宋体" w:hAnsi="宋体" w:eastAsia="宋体" w:cs="宋体"/>
                <w:b/>
                <w:bCs w:val="0"/>
                <w:i w:val="0"/>
                <w:color w:val="auto"/>
                <w:kern w:val="0"/>
                <w:sz w:val="28"/>
                <w:szCs w:val="28"/>
                <w:u w:val="none"/>
                <w:lang w:val="en-US" w:eastAsia="zh-CN" w:bidi="ar"/>
              </w:rPr>
            </w:pPr>
            <w:r>
              <w:rPr>
                <w:rFonts w:hint="eastAsia" w:ascii="宋体" w:hAnsi="宋体" w:cs="宋体"/>
                <w:b/>
                <w:bCs w:val="0"/>
                <w:i w:val="0"/>
                <w:color w:val="auto"/>
                <w:kern w:val="0"/>
                <w:sz w:val="28"/>
                <w:szCs w:val="28"/>
                <w:u w:val="none"/>
                <w:lang w:val="en-US" w:eastAsia="zh-CN" w:bidi="ar"/>
              </w:rPr>
              <w:t>2022年底</w:t>
            </w:r>
          </w:p>
        </w:tc>
        <w:tc>
          <w:tcPr>
            <w:tcW w:w="1474" w:type="dxa"/>
          </w:tcPr>
          <w:p>
            <w:pPr>
              <w:keepNext w:val="0"/>
              <w:keepLines w:val="0"/>
              <w:widowControl/>
              <w:suppressLineNumbers w:val="0"/>
              <w:jc w:val="center"/>
              <w:textAlignment w:val="center"/>
              <w:rPr>
                <w:rFonts w:hint="default" w:ascii="宋体" w:hAnsi="宋体" w:eastAsia="宋体" w:cs="宋体"/>
                <w:b/>
                <w:bCs w:val="0"/>
                <w:i w:val="0"/>
                <w:color w:val="auto"/>
                <w:kern w:val="0"/>
                <w:sz w:val="28"/>
                <w:szCs w:val="28"/>
                <w:u w:val="none"/>
                <w:lang w:val="en-US" w:eastAsia="zh-CN" w:bidi="ar"/>
              </w:rPr>
            </w:pPr>
            <w:r>
              <w:rPr>
                <w:rFonts w:hint="eastAsia" w:ascii="宋体" w:hAnsi="宋体" w:cs="宋体"/>
                <w:b/>
                <w:bCs w:val="0"/>
                <w:i w:val="0"/>
                <w:color w:val="auto"/>
                <w:kern w:val="0"/>
                <w:sz w:val="28"/>
                <w:szCs w:val="28"/>
                <w:u w:val="none"/>
                <w:lang w:val="en-US" w:eastAsia="zh-CN" w:bidi="ar"/>
              </w:rPr>
              <w:t>2023年底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restart"/>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1</w:t>
            </w:r>
          </w:p>
        </w:tc>
        <w:tc>
          <w:tcPr>
            <w:tcW w:w="3469"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民政部门登记、备案运营的养老床位数（张）</w:t>
            </w:r>
          </w:p>
        </w:tc>
        <w:tc>
          <w:tcPr>
            <w:tcW w:w="1546" w:type="dxa"/>
            <w:vAlign w:val="center"/>
          </w:tcPr>
          <w:p>
            <w:pPr>
              <w:keepNext w:val="0"/>
              <w:keepLines w:val="0"/>
              <w:widowControl/>
              <w:suppressLineNumbers w:val="0"/>
              <w:jc w:val="center"/>
              <w:textAlignment w:val="center"/>
              <w:rPr>
                <w:rFonts w:hint="default" w:ascii="宋体" w:hAnsi="宋体" w:eastAsia="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7632</w:t>
            </w:r>
          </w:p>
        </w:tc>
        <w:tc>
          <w:tcPr>
            <w:tcW w:w="1560" w:type="dxa"/>
            <w:vAlign w:val="center"/>
          </w:tcPr>
          <w:p>
            <w:pPr>
              <w:keepNext w:val="0"/>
              <w:keepLines w:val="0"/>
              <w:widowControl/>
              <w:suppressLineNumbers w:val="0"/>
              <w:jc w:val="center"/>
              <w:textAlignment w:val="center"/>
              <w:rPr>
                <w:rFonts w:hint="default" w:ascii="宋体" w:hAnsi="宋体" w:eastAsia="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8299</w:t>
            </w:r>
          </w:p>
        </w:tc>
        <w:tc>
          <w:tcPr>
            <w:tcW w:w="1474" w:type="dxa"/>
            <w:vAlign w:val="center"/>
          </w:tcPr>
          <w:p>
            <w:pPr>
              <w:keepNext w:val="0"/>
              <w:keepLines w:val="0"/>
              <w:widowControl/>
              <w:suppressLineNumbers w:val="0"/>
              <w:jc w:val="center"/>
              <w:textAlignment w:val="center"/>
              <w:rPr>
                <w:rFonts w:hint="default" w:ascii="宋体" w:hAnsi="宋体" w:eastAsia="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8965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p>
        </w:tc>
        <w:tc>
          <w:tcPr>
            <w:tcW w:w="3469"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公办床位数（含公建国营）</w:t>
            </w:r>
          </w:p>
        </w:tc>
        <w:tc>
          <w:tcPr>
            <w:tcW w:w="1546"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3893</w:t>
            </w:r>
          </w:p>
        </w:tc>
        <w:tc>
          <w:tcPr>
            <w:tcW w:w="1560"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4227</w:t>
            </w:r>
          </w:p>
        </w:tc>
        <w:tc>
          <w:tcPr>
            <w:tcW w:w="1474"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4559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p>
        </w:tc>
        <w:tc>
          <w:tcPr>
            <w:tcW w:w="3469"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民办床位数</w:t>
            </w:r>
          </w:p>
        </w:tc>
        <w:tc>
          <w:tcPr>
            <w:tcW w:w="1546"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3739</w:t>
            </w:r>
          </w:p>
        </w:tc>
        <w:tc>
          <w:tcPr>
            <w:tcW w:w="1560"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4072</w:t>
            </w:r>
          </w:p>
        </w:tc>
        <w:tc>
          <w:tcPr>
            <w:tcW w:w="1474"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p>
        </w:tc>
        <w:tc>
          <w:tcPr>
            <w:tcW w:w="3469"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其中：兜底性床位</w:t>
            </w:r>
          </w:p>
        </w:tc>
        <w:tc>
          <w:tcPr>
            <w:tcW w:w="1546"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550</w:t>
            </w:r>
          </w:p>
        </w:tc>
        <w:tc>
          <w:tcPr>
            <w:tcW w:w="1560"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620</w:t>
            </w:r>
          </w:p>
        </w:tc>
        <w:tc>
          <w:tcPr>
            <w:tcW w:w="1474"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p>
        </w:tc>
        <w:tc>
          <w:tcPr>
            <w:tcW w:w="3469"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其中：普惠性床位</w:t>
            </w:r>
          </w:p>
        </w:tc>
        <w:tc>
          <w:tcPr>
            <w:tcW w:w="1546"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2000</w:t>
            </w:r>
          </w:p>
        </w:tc>
        <w:tc>
          <w:tcPr>
            <w:tcW w:w="1560"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2500</w:t>
            </w:r>
          </w:p>
        </w:tc>
        <w:tc>
          <w:tcPr>
            <w:tcW w:w="1474"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p>
        </w:tc>
        <w:tc>
          <w:tcPr>
            <w:tcW w:w="3469"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其中：护理型床位</w:t>
            </w:r>
          </w:p>
        </w:tc>
        <w:tc>
          <w:tcPr>
            <w:tcW w:w="1546"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4198</w:t>
            </w:r>
          </w:p>
        </w:tc>
        <w:tc>
          <w:tcPr>
            <w:tcW w:w="1560"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4564</w:t>
            </w:r>
          </w:p>
        </w:tc>
        <w:tc>
          <w:tcPr>
            <w:tcW w:w="1474"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4931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2</w:t>
            </w:r>
          </w:p>
        </w:tc>
        <w:tc>
          <w:tcPr>
            <w:tcW w:w="3469"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星级养老机构数（家）</w:t>
            </w:r>
          </w:p>
        </w:tc>
        <w:tc>
          <w:tcPr>
            <w:tcW w:w="1546"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13</w:t>
            </w:r>
          </w:p>
        </w:tc>
        <w:tc>
          <w:tcPr>
            <w:tcW w:w="1560"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15</w:t>
            </w:r>
          </w:p>
        </w:tc>
        <w:tc>
          <w:tcPr>
            <w:tcW w:w="1474"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3</w:t>
            </w:r>
          </w:p>
        </w:tc>
        <w:tc>
          <w:tcPr>
            <w:tcW w:w="3469" w:type="dxa"/>
            <w:vAlign w:val="center"/>
          </w:tcPr>
          <w:p>
            <w:pPr>
              <w:keepNext w:val="0"/>
              <w:keepLines w:val="0"/>
              <w:widowControl/>
              <w:suppressLineNumbers w:val="0"/>
              <w:jc w:val="center"/>
              <w:textAlignment w:val="center"/>
              <w:rPr>
                <w:rFonts w:hint="eastAsia"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医养结合示范性养老机构数（家）</w:t>
            </w:r>
          </w:p>
        </w:tc>
        <w:tc>
          <w:tcPr>
            <w:tcW w:w="1546"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0</w:t>
            </w:r>
          </w:p>
        </w:tc>
        <w:tc>
          <w:tcPr>
            <w:tcW w:w="1560" w:type="dxa"/>
            <w:vAlign w:val="center"/>
          </w:tcPr>
          <w:p>
            <w:pPr>
              <w:keepNext w:val="0"/>
              <w:keepLines w:val="0"/>
              <w:widowControl/>
              <w:suppressLineNumbers w:val="0"/>
              <w:jc w:val="center"/>
              <w:textAlignment w:val="center"/>
              <w:rPr>
                <w:rFonts w:hint="eastAsia"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1</w:t>
            </w:r>
          </w:p>
        </w:tc>
        <w:tc>
          <w:tcPr>
            <w:tcW w:w="1474"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4</w:t>
            </w:r>
          </w:p>
        </w:tc>
        <w:tc>
          <w:tcPr>
            <w:tcW w:w="3469"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全区养老机构的医养结合率（%）</w:t>
            </w:r>
          </w:p>
        </w:tc>
        <w:tc>
          <w:tcPr>
            <w:tcW w:w="1546"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80</w:t>
            </w:r>
          </w:p>
        </w:tc>
        <w:tc>
          <w:tcPr>
            <w:tcW w:w="1560"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90</w:t>
            </w:r>
          </w:p>
        </w:tc>
        <w:tc>
          <w:tcPr>
            <w:tcW w:w="1474"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restart"/>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5</w:t>
            </w:r>
          </w:p>
        </w:tc>
        <w:tc>
          <w:tcPr>
            <w:tcW w:w="3469"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全区社区幸福院覆盖率（%）</w:t>
            </w:r>
          </w:p>
        </w:tc>
        <w:tc>
          <w:tcPr>
            <w:tcW w:w="1546"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80</w:t>
            </w:r>
          </w:p>
        </w:tc>
        <w:tc>
          <w:tcPr>
            <w:tcW w:w="1560"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90</w:t>
            </w:r>
          </w:p>
        </w:tc>
        <w:tc>
          <w:tcPr>
            <w:tcW w:w="1474" w:type="dxa"/>
            <w:vAlign w:val="center"/>
          </w:tcPr>
          <w:p>
            <w:pPr>
              <w:keepNext w:val="0"/>
              <w:keepLines w:val="0"/>
              <w:widowControl/>
              <w:suppressLineNumbers w:val="0"/>
              <w:jc w:val="center"/>
              <w:textAlignment w:val="center"/>
              <w:rPr>
                <w:rFonts w:hint="eastAsia"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p>
        </w:tc>
        <w:tc>
          <w:tcPr>
            <w:tcW w:w="3469"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社区幸福院数（家）</w:t>
            </w:r>
          </w:p>
        </w:tc>
        <w:tc>
          <w:tcPr>
            <w:tcW w:w="1546" w:type="dxa"/>
            <w:vAlign w:val="center"/>
          </w:tcPr>
          <w:p>
            <w:pPr>
              <w:keepNext w:val="0"/>
              <w:keepLines w:val="0"/>
              <w:widowControl/>
              <w:suppressLineNumbers w:val="0"/>
              <w:jc w:val="center"/>
              <w:textAlignment w:val="center"/>
              <w:rPr>
                <w:rFonts w:hint="eastAsia"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217</w:t>
            </w:r>
          </w:p>
        </w:tc>
        <w:tc>
          <w:tcPr>
            <w:tcW w:w="1560"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257</w:t>
            </w:r>
          </w:p>
        </w:tc>
        <w:tc>
          <w:tcPr>
            <w:tcW w:w="1474"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p>
        </w:tc>
        <w:tc>
          <w:tcPr>
            <w:tcW w:w="3469"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default" w:ascii="宋体" w:hAnsi="宋体" w:cs="宋体"/>
                <w:b w:val="0"/>
                <w:bCs/>
                <w:i w:val="0"/>
                <w:color w:val="auto"/>
                <w:kern w:val="0"/>
                <w:sz w:val="28"/>
                <w:szCs w:val="28"/>
                <w:u w:val="none"/>
                <w:lang w:val="en-US" w:eastAsia="zh-CN" w:bidi="ar"/>
              </w:rPr>
              <w:t>社区居家综合性养老服务机构</w:t>
            </w:r>
            <w:r>
              <w:rPr>
                <w:rFonts w:hint="eastAsia" w:ascii="宋体" w:hAnsi="宋体" w:cs="宋体"/>
                <w:b w:val="0"/>
                <w:bCs/>
                <w:i w:val="0"/>
                <w:color w:val="auto"/>
                <w:kern w:val="0"/>
                <w:sz w:val="28"/>
                <w:szCs w:val="28"/>
                <w:u w:val="none"/>
                <w:lang w:val="en-US" w:eastAsia="zh-CN" w:bidi="ar"/>
              </w:rPr>
              <w:t>（家）</w:t>
            </w:r>
          </w:p>
        </w:tc>
        <w:tc>
          <w:tcPr>
            <w:tcW w:w="1546"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0</w:t>
            </w:r>
          </w:p>
        </w:tc>
        <w:tc>
          <w:tcPr>
            <w:tcW w:w="1560"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7</w:t>
            </w:r>
          </w:p>
        </w:tc>
        <w:tc>
          <w:tcPr>
            <w:tcW w:w="1474"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p>
        </w:tc>
        <w:tc>
          <w:tcPr>
            <w:tcW w:w="3469"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健康幸福小站数（个）</w:t>
            </w:r>
          </w:p>
        </w:tc>
        <w:tc>
          <w:tcPr>
            <w:tcW w:w="1546"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16</w:t>
            </w:r>
          </w:p>
        </w:tc>
        <w:tc>
          <w:tcPr>
            <w:tcW w:w="1560"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20</w:t>
            </w:r>
          </w:p>
        </w:tc>
        <w:tc>
          <w:tcPr>
            <w:tcW w:w="1474"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p>
        </w:tc>
        <w:tc>
          <w:tcPr>
            <w:tcW w:w="3469"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长者配餐中心数（家）</w:t>
            </w:r>
          </w:p>
        </w:tc>
        <w:tc>
          <w:tcPr>
            <w:tcW w:w="1546"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3</w:t>
            </w:r>
          </w:p>
        </w:tc>
        <w:tc>
          <w:tcPr>
            <w:tcW w:w="1560"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5</w:t>
            </w:r>
          </w:p>
        </w:tc>
        <w:tc>
          <w:tcPr>
            <w:tcW w:w="1474"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6</w:t>
            </w:r>
          </w:p>
        </w:tc>
        <w:tc>
          <w:tcPr>
            <w:tcW w:w="3469"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社区医养结合示范点（个）</w:t>
            </w:r>
          </w:p>
        </w:tc>
        <w:tc>
          <w:tcPr>
            <w:tcW w:w="1546"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1</w:t>
            </w:r>
          </w:p>
        </w:tc>
        <w:tc>
          <w:tcPr>
            <w:tcW w:w="1560"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4</w:t>
            </w:r>
          </w:p>
        </w:tc>
        <w:tc>
          <w:tcPr>
            <w:tcW w:w="1474" w:type="dxa"/>
            <w:vAlign w:val="center"/>
          </w:tcPr>
          <w:p>
            <w:pPr>
              <w:keepNext w:val="0"/>
              <w:keepLines w:val="0"/>
              <w:widowControl/>
              <w:suppressLineNumbers w:val="0"/>
              <w:jc w:val="center"/>
              <w:textAlignment w:val="center"/>
              <w:rPr>
                <w:rFonts w:hint="default" w:ascii="宋体" w:hAnsi="宋体" w:cs="宋体"/>
                <w:b w:val="0"/>
                <w:bCs/>
                <w:i w:val="0"/>
                <w:color w:val="auto"/>
                <w:kern w:val="0"/>
                <w:sz w:val="28"/>
                <w:szCs w:val="28"/>
                <w:u w:val="none"/>
                <w:lang w:val="en-US" w:eastAsia="zh-CN" w:bidi="ar"/>
              </w:rPr>
            </w:pPr>
            <w:r>
              <w:rPr>
                <w:rFonts w:hint="eastAsia" w:ascii="宋体" w:hAnsi="宋体" w:cs="宋体"/>
                <w:b w:val="0"/>
                <w:bCs/>
                <w:i w:val="0"/>
                <w:color w:val="auto"/>
                <w:kern w:val="0"/>
                <w:sz w:val="28"/>
                <w:szCs w:val="28"/>
                <w:u w:val="none"/>
                <w:lang w:val="en-US" w:eastAsia="zh-CN" w:bidi="ar"/>
              </w:rPr>
              <w:t>7</w:t>
            </w:r>
          </w:p>
        </w:tc>
      </w:tr>
    </w:tbl>
    <w:p>
      <w:pPr>
        <w:spacing w:line="560" w:lineRule="exact"/>
        <w:ind w:firstLine="640" w:firstLineChars="200"/>
        <w:rPr>
          <w:rFonts w:hint="eastAsia" w:ascii="仿宋_GB2312" w:eastAsia="仿宋_GB2312"/>
          <w:color w:val="auto"/>
          <w:sz w:val="32"/>
          <w:szCs w:val="32"/>
          <w:lang w:eastAsia="zh-CN"/>
        </w:rPr>
      </w:pPr>
    </w:p>
    <w:p>
      <w:pPr>
        <w:pStyle w:val="2"/>
        <w:ind w:firstLine="640"/>
        <w:rPr>
          <w:rFonts w:hint="default" w:asciiTheme="minorHAnsi" w:hAnsiTheme="minorHAnsi"/>
          <w:b w:val="0"/>
          <w:bCs w:val="0"/>
          <w:color w:val="auto"/>
          <w:lang w:val="en-US" w:eastAsia="zh-CN"/>
        </w:rPr>
      </w:pPr>
      <w:r>
        <w:rPr>
          <w:rFonts w:hint="eastAsia" w:asciiTheme="minorHAnsi" w:hAnsiTheme="minorHAnsi"/>
          <w:b w:val="0"/>
          <w:bCs w:val="0"/>
          <w:color w:val="auto"/>
          <w:lang w:eastAsia="zh-CN"/>
        </w:rPr>
        <w:t>（</w:t>
      </w:r>
      <w:r>
        <w:rPr>
          <w:rFonts w:hint="eastAsia" w:asciiTheme="minorHAnsi" w:hAnsiTheme="minorHAnsi"/>
          <w:b w:val="0"/>
          <w:bCs w:val="0"/>
          <w:color w:val="auto"/>
          <w:lang w:val="en-US" w:eastAsia="zh-CN"/>
        </w:rPr>
        <w:t>四</w:t>
      </w:r>
      <w:r>
        <w:rPr>
          <w:rFonts w:hint="eastAsia" w:asciiTheme="minorHAnsi" w:hAnsiTheme="minorHAnsi"/>
          <w:b w:val="0"/>
          <w:bCs w:val="0"/>
          <w:color w:val="auto"/>
          <w:lang w:eastAsia="zh-CN"/>
        </w:rPr>
        <w:t>）</w:t>
      </w:r>
      <w:r>
        <w:rPr>
          <w:rFonts w:hint="eastAsia" w:asciiTheme="minorHAnsi" w:hAnsiTheme="minorHAnsi"/>
          <w:b w:val="0"/>
          <w:bCs w:val="0"/>
          <w:color w:val="auto"/>
          <w:lang w:val="en-US" w:eastAsia="zh-CN"/>
        </w:rPr>
        <w:t>新增床位依据</w:t>
      </w:r>
    </w:p>
    <w:p>
      <w:pPr>
        <w:spacing w:line="560" w:lineRule="exact"/>
        <w:ind w:firstLine="640" w:firstLineChars="200"/>
        <w:rPr>
          <w:rFonts w:hint="eastAsia"/>
          <w:color w:val="auto"/>
        </w:rPr>
      </w:pPr>
      <w:r>
        <w:rPr>
          <w:rFonts w:hint="eastAsia" w:ascii="仿宋_GB2312" w:eastAsia="仿宋_GB2312"/>
          <w:color w:val="auto"/>
          <w:sz w:val="32"/>
          <w:szCs w:val="32"/>
          <w:lang w:val="en-US" w:eastAsia="zh-CN"/>
        </w:rPr>
        <w:t>我区是</w:t>
      </w:r>
      <w:r>
        <w:rPr>
          <w:rFonts w:hint="eastAsia" w:ascii="仿宋_GB2312" w:eastAsia="仿宋_GB2312"/>
          <w:color w:val="auto"/>
          <w:sz w:val="32"/>
          <w:szCs w:val="32"/>
          <w:lang w:eastAsia="zh-CN"/>
        </w:rPr>
        <w:t>老龄化偏重</w:t>
      </w:r>
      <w:r>
        <w:rPr>
          <w:rFonts w:hint="eastAsia" w:ascii="仿宋_GB2312" w:eastAsia="仿宋_GB2312"/>
          <w:color w:val="auto"/>
          <w:sz w:val="32"/>
          <w:szCs w:val="32"/>
          <w:lang w:val="en-US" w:eastAsia="zh-CN"/>
        </w:rPr>
        <w:t>的地区</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截至目前60岁以上常住老人33.46万人，</w:t>
      </w:r>
      <w:r>
        <w:rPr>
          <w:rFonts w:hint="eastAsia" w:ascii="仿宋_GB2312" w:eastAsia="仿宋_GB2312"/>
          <w:color w:val="auto"/>
          <w:sz w:val="32"/>
          <w:szCs w:val="32"/>
          <w:lang w:eastAsia="zh-CN"/>
        </w:rPr>
        <w:t>约</w:t>
      </w:r>
      <w:r>
        <w:rPr>
          <w:rFonts w:hint="eastAsia" w:ascii="仿宋_GB2312" w:eastAsia="仿宋_GB2312"/>
          <w:color w:val="auto"/>
          <w:sz w:val="32"/>
          <w:szCs w:val="32"/>
          <w:lang w:val="en-US" w:eastAsia="zh-CN"/>
        </w:rPr>
        <w:t>占常住</w:t>
      </w:r>
      <w:r>
        <w:rPr>
          <w:rFonts w:hint="eastAsia" w:ascii="仿宋_GB2312" w:eastAsia="仿宋_GB2312"/>
          <w:color w:val="auto"/>
          <w:sz w:val="32"/>
          <w:szCs w:val="32"/>
          <w:lang w:eastAsia="zh-CN"/>
        </w:rPr>
        <w:t>人口总数</w:t>
      </w:r>
      <w:r>
        <w:rPr>
          <w:rFonts w:hint="eastAsia" w:ascii="仿宋_GB2312" w:eastAsia="仿宋_GB2312"/>
          <w:color w:val="auto"/>
          <w:sz w:val="32"/>
          <w:szCs w:val="32"/>
          <w:lang w:val="en-US" w:eastAsia="zh-CN"/>
        </w:rPr>
        <w:t>的9%；</w:t>
      </w:r>
      <w:r>
        <w:rPr>
          <w:rFonts w:hint="eastAsia" w:ascii="仿宋_GB2312" w:eastAsia="仿宋_GB2312"/>
          <w:color w:val="auto"/>
          <w:sz w:val="32"/>
          <w:szCs w:val="32"/>
          <w:lang w:eastAsia="zh-CN"/>
        </w:rPr>
        <w:t>60岁以上户籍老人26.21万人，约占户籍人口总数</w:t>
      </w:r>
      <w:r>
        <w:rPr>
          <w:rFonts w:hint="eastAsia" w:ascii="仿宋_GB2312" w:eastAsia="仿宋_GB2312"/>
          <w:color w:val="auto"/>
          <w:sz w:val="32"/>
          <w:szCs w:val="32"/>
          <w:lang w:val="en-US" w:eastAsia="zh-CN"/>
        </w:rPr>
        <w:t>的</w:t>
      </w:r>
      <w:r>
        <w:rPr>
          <w:rFonts w:hint="eastAsia" w:ascii="仿宋_GB2312" w:eastAsia="仿宋_GB2312"/>
          <w:color w:val="auto"/>
          <w:sz w:val="32"/>
          <w:szCs w:val="32"/>
          <w:lang w:eastAsia="zh-CN"/>
        </w:rPr>
        <w:t>16.4%，超过10%的老龄化社会划分标准。</w:t>
      </w:r>
      <w:r>
        <w:rPr>
          <w:rFonts w:hint="default" w:ascii="仿宋_GB2312" w:eastAsia="仿宋_GB2312"/>
          <w:color w:val="auto"/>
          <w:sz w:val="32"/>
          <w:szCs w:val="32"/>
          <w:lang w:val="en-US" w:eastAsia="zh-CN"/>
        </w:rPr>
        <w:t>当前</w:t>
      </w:r>
      <w:r>
        <w:rPr>
          <w:rFonts w:hint="eastAsia" w:ascii="仿宋_GB2312" w:eastAsia="仿宋_GB2312"/>
          <w:color w:val="auto"/>
          <w:sz w:val="32"/>
          <w:szCs w:val="32"/>
          <w:lang w:val="en-US" w:eastAsia="zh-CN"/>
        </w:rPr>
        <w:t>全</w:t>
      </w:r>
      <w:r>
        <w:rPr>
          <w:rFonts w:hint="default" w:ascii="仿宋_GB2312" w:eastAsia="仿宋_GB2312"/>
          <w:color w:val="auto"/>
          <w:sz w:val="32"/>
          <w:szCs w:val="32"/>
          <w:lang w:val="en-US" w:eastAsia="zh-CN"/>
        </w:rPr>
        <w:t>区养老机构有2</w:t>
      </w:r>
      <w:r>
        <w:rPr>
          <w:rFonts w:hint="eastAsia" w:ascii="仿宋_GB2312" w:eastAsia="仿宋_GB2312"/>
          <w:color w:val="auto"/>
          <w:sz w:val="32"/>
          <w:szCs w:val="32"/>
          <w:lang w:val="en-US" w:eastAsia="zh-CN"/>
        </w:rPr>
        <w:t>2</w:t>
      </w:r>
      <w:r>
        <w:rPr>
          <w:rFonts w:hint="default" w:ascii="仿宋_GB2312" w:eastAsia="仿宋_GB2312"/>
          <w:color w:val="auto"/>
          <w:sz w:val="32"/>
          <w:szCs w:val="32"/>
          <w:lang w:val="en-US" w:eastAsia="zh-CN"/>
        </w:rPr>
        <w:t>家，</w:t>
      </w:r>
      <w:r>
        <w:rPr>
          <w:rFonts w:hint="eastAsia" w:ascii="仿宋_GB2312" w:eastAsia="仿宋_GB2312"/>
          <w:color w:val="auto"/>
          <w:sz w:val="32"/>
          <w:szCs w:val="32"/>
          <w:lang w:eastAsia="zh-CN"/>
        </w:rPr>
        <w:t>养老床位</w:t>
      </w:r>
      <w:r>
        <w:rPr>
          <w:rFonts w:hint="eastAsia" w:ascii="仿宋_GB2312" w:eastAsia="仿宋_GB2312"/>
          <w:color w:val="auto"/>
          <w:sz w:val="32"/>
          <w:szCs w:val="32"/>
          <w:lang w:val="en-US" w:eastAsia="zh-CN"/>
        </w:rPr>
        <w:t>6965</w:t>
      </w:r>
      <w:r>
        <w:rPr>
          <w:rFonts w:hint="eastAsia" w:ascii="仿宋_GB2312" w:eastAsia="仿宋_GB2312"/>
          <w:color w:val="auto"/>
          <w:sz w:val="32"/>
          <w:szCs w:val="32"/>
          <w:lang w:eastAsia="zh-CN"/>
        </w:rPr>
        <w:t>张。根据《城镇老年人设施规划规范》（2018版）</w:t>
      </w:r>
      <w:r>
        <w:rPr>
          <w:rFonts w:hint="eastAsia" w:ascii="仿宋_GB2312" w:eastAsia="仿宋_GB2312"/>
          <w:color w:val="auto"/>
          <w:sz w:val="32"/>
          <w:szCs w:val="32"/>
          <w:lang w:val="en-US" w:eastAsia="zh-CN"/>
        </w:rPr>
        <w:t>等</w:t>
      </w:r>
      <w:r>
        <w:rPr>
          <w:rFonts w:hint="eastAsia" w:ascii="仿宋_GB2312" w:eastAsia="仿宋_GB2312"/>
          <w:color w:val="auto"/>
          <w:sz w:val="32"/>
          <w:szCs w:val="32"/>
          <w:lang w:eastAsia="zh-CN"/>
        </w:rPr>
        <w:t>文件</w:t>
      </w:r>
      <w:r>
        <w:rPr>
          <w:rFonts w:hint="eastAsia" w:ascii="仿宋_GB2312" w:eastAsia="仿宋_GB2312"/>
          <w:color w:val="auto"/>
          <w:sz w:val="32"/>
          <w:szCs w:val="32"/>
          <w:lang w:val="en-US" w:eastAsia="zh-CN"/>
        </w:rPr>
        <w:t>要求，老年人设施中养老院、老年养护院应按所在地城市规划常住人口规模配置，每千名老人不应少于40床。按照每千名老人配置40张床位的标准计算，我区应建设养老床位10484张床位，综合考虑我区老年人入住养老机构的实际需求和我区财政承受范围，初步拟定2023年新增2000张养老床位，每年以新增667张的目标落实。</w:t>
      </w:r>
    </w:p>
    <w:p/>
    <w:sectPr>
      <w:headerReference r:id="rId3" w:type="default"/>
      <w:footerReference r:id="rId4" w:type="default"/>
      <w:pgSz w:w="11906" w:h="16838"/>
      <w:pgMar w:top="1800" w:right="1440" w:bottom="1800"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宋体" w:hAnsi="宋体"/>
                              <w:sz w:val="28"/>
                              <w:szCs w:val="32"/>
                            </w:rPr>
                            <w:t xml:space="preserve">— </w:t>
                          </w:r>
                          <w:r>
                            <w:rPr>
                              <w:rFonts w:hint="eastAsia" w:ascii="宋体" w:hAnsi="宋体"/>
                              <w:sz w:val="28"/>
                              <w:szCs w:val="32"/>
                            </w:rPr>
                            <w:fldChar w:fldCharType="begin"/>
                          </w:r>
                          <w:r>
                            <w:rPr>
                              <w:rFonts w:hint="eastAsia" w:ascii="宋体" w:hAnsi="宋体"/>
                              <w:sz w:val="28"/>
                              <w:szCs w:val="32"/>
                            </w:rPr>
                            <w:instrText xml:space="preserve">PAGE  </w:instrText>
                          </w:r>
                          <w:r>
                            <w:rPr>
                              <w:rFonts w:hint="eastAsia" w:ascii="宋体" w:hAnsi="宋体"/>
                              <w:sz w:val="28"/>
                              <w:szCs w:val="32"/>
                            </w:rPr>
                            <w:fldChar w:fldCharType="separate"/>
                          </w:r>
                          <w:r>
                            <w:rPr>
                              <w:rFonts w:ascii="宋体" w:hAnsi="宋体"/>
                              <w:sz w:val="28"/>
                              <w:szCs w:val="32"/>
                            </w:rPr>
                            <w:t>18</w:t>
                          </w:r>
                          <w:r>
                            <w:rPr>
                              <w:rFonts w:hint="eastAsia" w:ascii="宋体" w:hAnsi="宋体"/>
                              <w:sz w:val="28"/>
                              <w:szCs w:val="32"/>
                            </w:rPr>
                            <w:fldChar w:fldCharType="end"/>
                          </w:r>
                          <w:r>
                            <w:rPr>
                              <w:rFonts w:hint="eastAsia" w:ascii="宋体" w:hAnsi="宋体"/>
                              <w:sz w:val="28"/>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sz w:val="28"/>
                        <w:szCs w:val="32"/>
                      </w:rPr>
                      <w:t xml:space="preserve">— </w:t>
                    </w:r>
                    <w:r>
                      <w:rPr>
                        <w:rFonts w:hint="eastAsia" w:ascii="宋体" w:hAnsi="宋体"/>
                        <w:sz w:val="28"/>
                        <w:szCs w:val="32"/>
                      </w:rPr>
                      <w:fldChar w:fldCharType="begin"/>
                    </w:r>
                    <w:r>
                      <w:rPr>
                        <w:rFonts w:hint="eastAsia" w:ascii="宋体" w:hAnsi="宋体"/>
                        <w:sz w:val="28"/>
                        <w:szCs w:val="32"/>
                      </w:rPr>
                      <w:instrText xml:space="preserve">PAGE  </w:instrText>
                    </w:r>
                    <w:r>
                      <w:rPr>
                        <w:rFonts w:hint="eastAsia" w:ascii="宋体" w:hAnsi="宋体"/>
                        <w:sz w:val="28"/>
                        <w:szCs w:val="32"/>
                      </w:rPr>
                      <w:fldChar w:fldCharType="separate"/>
                    </w:r>
                    <w:r>
                      <w:rPr>
                        <w:rFonts w:ascii="宋体" w:hAnsi="宋体"/>
                        <w:sz w:val="28"/>
                        <w:szCs w:val="32"/>
                      </w:rPr>
                      <w:t>18</w:t>
                    </w:r>
                    <w:r>
                      <w:rPr>
                        <w:rFonts w:hint="eastAsia" w:ascii="宋体" w:hAnsi="宋体"/>
                        <w:sz w:val="28"/>
                        <w:szCs w:val="32"/>
                      </w:rPr>
                      <w:fldChar w:fldCharType="end"/>
                    </w:r>
                    <w:r>
                      <w:rPr>
                        <w:rFonts w:hint="eastAsia" w:ascii="宋体" w:hAnsi="宋体"/>
                        <w:sz w:val="28"/>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01315"/>
    <w:rsid w:val="01301315"/>
    <w:rsid w:val="755339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2"/>
      <w:lang w:val="en-US" w:eastAsia="zh-CN" w:bidi="ar-SA"/>
    </w:rPr>
  </w:style>
  <w:style w:type="paragraph" w:styleId="3">
    <w:name w:val="heading 2"/>
    <w:basedOn w:val="1"/>
    <w:next w:val="1"/>
    <w:unhideWhenUsed/>
    <w:qFormat/>
    <w:uiPriority w:val="0"/>
    <w:pPr>
      <w:keepNext/>
      <w:keepLines/>
      <w:spacing w:line="560" w:lineRule="exact"/>
      <w:ind w:firstLine="200" w:firstLineChars="200"/>
      <w:outlineLvl w:val="1"/>
    </w:pPr>
    <w:rPr>
      <w:rFonts w:eastAsia="黑体" w:asciiTheme="majorHAnsi" w:hAnsiTheme="majorHAnsi" w:cstheme="majorBidi"/>
      <w:bCs/>
      <w:sz w:val="32"/>
      <w:szCs w:val="32"/>
    </w:rPr>
  </w:style>
  <w:style w:type="paragraph" w:styleId="2">
    <w:name w:val="heading 3"/>
    <w:basedOn w:val="1"/>
    <w:next w:val="1"/>
    <w:unhideWhenUsed/>
    <w:qFormat/>
    <w:uiPriority w:val="0"/>
    <w:pPr>
      <w:keepNext/>
      <w:keepLines/>
      <w:spacing w:line="360" w:lineRule="auto"/>
      <w:ind w:firstLine="200" w:firstLineChars="200"/>
      <w:outlineLvl w:val="2"/>
    </w:pPr>
    <w:rPr>
      <w:rFonts w:eastAsia="楷体"/>
      <w:b/>
      <w:bCs/>
      <w:sz w:val="32"/>
      <w:szCs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2021-05-11T08:01:00Z</dcterms:created>
  <dc:creator>区可欣</dc:creator>
  <cp:lastModifiedBy>区可欣</cp:lastModifiedBy>
  <dcterms:modified xsi:type="dcterms:W3CDTF">2021-05-11T08:02:39Z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