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right="1264" w:rightChars="400"/>
        <w:jc w:val="both"/>
        <w:textAlignment w:val="auto"/>
        <w:outlineLvl w:val="9"/>
        <w:rPr>
          <w:rFonts w:hint="eastAsia" w:ascii="黑体" w:hAnsi="黑体" w:eastAsia="黑体" w:cs="黑体"/>
          <w:b w:val="0"/>
          <w:bCs w:val="0"/>
          <w:i w:val="0"/>
          <w:outline w:val="0"/>
          <w:shadow w:val="0"/>
          <w:emboss w:val="0"/>
          <w:imprint w:val="0"/>
          <w:snapToGrid/>
          <w:vanish w:val="0"/>
          <w:color w:val="000000"/>
          <w:spacing w:val="0"/>
          <w:w w:val="100"/>
          <w:kern w:val="2"/>
          <w:position w:val="0"/>
          <w:sz w:val="32"/>
          <w:szCs w:val="22"/>
          <w:u w:val="none"/>
        </w:rPr>
      </w:pPr>
      <w:bookmarkStart w:id="0" w:name="_GoBack"/>
      <w:bookmarkEnd w:id="0"/>
      <w:r>
        <w:rPr>
          <w:rFonts w:hint="eastAsia" w:ascii="黑体" w:hAnsi="黑体" w:eastAsia="黑体" w:cs="黑体"/>
          <w:b w:val="0"/>
          <w:bCs w:val="0"/>
          <w:i w:val="0"/>
          <w:outline w:val="0"/>
          <w:shadow w:val="0"/>
          <w:emboss w:val="0"/>
          <w:imprint w:val="0"/>
          <w:snapToGrid/>
          <w:vanish w:val="0"/>
          <w:color w:val="000000"/>
          <w:spacing w:val="0"/>
          <w:w w:val="100"/>
          <w:kern w:val="2"/>
          <w:position w:val="0"/>
          <w:sz w:val="32"/>
          <w:szCs w:val="22"/>
          <w:u w:val="none"/>
        </w:rPr>
        <w:t>附件1</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宋体" w:hAnsi="宋体" w:eastAsia="仿宋_GB2312"/>
          <w:b w:val="0"/>
          <w:i w:val="0"/>
          <w:outline w:val="0"/>
          <w:shadow w:val="0"/>
          <w:emboss w:val="0"/>
          <w:imprint w:val="0"/>
          <w:snapToGrid/>
          <w:vanish w:val="0"/>
          <w:color w:val="000000"/>
          <w:spacing w:val="0"/>
          <w:w w:val="100"/>
          <w:kern w:val="2"/>
          <w:position w:val="0"/>
          <w:sz w:val="32"/>
          <w:u w:val="none"/>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i w:val="0"/>
          <w:outline w:val="0"/>
          <w:shadow w:val="0"/>
          <w:emboss w:val="0"/>
          <w:imprint w:val="0"/>
          <w:snapToGrid/>
          <w:vanish w:val="0"/>
          <w:color w:val="000000"/>
          <w:spacing w:val="0"/>
          <w:w w:val="100"/>
          <w:kern w:val="2"/>
          <w:position w:val="0"/>
          <w:sz w:val="44"/>
          <w:szCs w:val="44"/>
          <w:u w:val="none"/>
        </w:rPr>
      </w:pPr>
      <w:r>
        <w:rPr>
          <w:rFonts w:hint="eastAsia" w:ascii="方正小标宋简体" w:hAnsi="方正小标宋简体" w:eastAsia="方正小标宋简体" w:cs="方正小标宋简体"/>
          <w:b w:val="0"/>
          <w:bCs/>
          <w:i w:val="0"/>
          <w:outline w:val="0"/>
          <w:shadow w:val="0"/>
          <w:emboss w:val="0"/>
          <w:imprint w:val="0"/>
          <w:snapToGrid/>
          <w:vanish w:val="0"/>
          <w:color w:val="000000"/>
          <w:spacing w:val="0"/>
          <w:w w:val="100"/>
          <w:kern w:val="2"/>
          <w:position w:val="0"/>
          <w:sz w:val="44"/>
          <w:szCs w:val="44"/>
          <w:u w:val="none"/>
          <w:lang w:val="en-US" w:eastAsia="zh-CN"/>
        </w:rPr>
        <w:t>里水镇专精特新企业集聚园区</w:t>
      </w:r>
      <w:r>
        <w:rPr>
          <w:rFonts w:hint="eastAsia" w:ascii="方正小标宋简体" w:hAnsi="方正小标宋简体" w:eastAsia="方正小标宋简体" w:cs="方正小标宋简体"/>
          <w:b w:val="0"/>
          <w:bCs/>
          <w:i w:val="0"/>
          <w:outline w:val="0"/>
          <w:shadow w:val="0"/>
          <w:emboss w:val="0"/>
          <w:imprint w:val="0"/>
          <w:snapToGrid/>
          <w:vanish w:val="0"/>
          <w:color w:val="000000"/>
          <w:spacing w:val="0"/>
          <w:w w:val="100"/>
          <w:kern w:val="2"/>
          <w:position w:val="0"/>
          <w:sz w:val="44"/>
          <w:szCs w:val="44"/>
          <w:u w:val="none"/>
          <w:lang w:eastAsia="zh-CN"/>
        </w:rPr>
        <w:t>项目</w:t>
      </w:r>
      <w:r>
        <w:rPr>
          <w:rFonts w:hint="eastAsia" w:ascii="方正小标宋简体" w:hAnsi="方正小标宋简体" w:eastAsia="方正小标宋简体" w:cs="方正小标宋简体"/>
          <w:b w:val="0"/>
          <w:bCs/>
          <w:i w:val="0"/>
          <w:outline w:val="0"/>
          <w:shadow w:val="0"/>
          <w:emboss w:val="0"/>
          <w:imprint w:val="0"/>
          <w:snapToGrid/>
          <w:vanish w:val="0"/>
          <w:color w:val="000000"/>
          <w:spacing w:val="0"/>
          <w:w w:val="100"/>
          <w:kern w:val="2"/>
          <w:position w:val="0"/>
          <w:sz w:val="44"/>
          <w:szCs w:val="44"/>
          <w:u w:val="none"/>
        </w:rPr>
        <w:t>征地红线图</w:t>
      </w:r>
    </w:p>
    <w:p>
      <w:pPr>
        <w:keepNext w:val="0"/>
        <w:keepLines w:val="0"/>
        <w:pageBreakBefore w:val="0"/>
        <w:widowControl w:val="0"/>
        <w:kinsoku/>
        <w:wordWrap/>
        <w:overflowPunct/>
        <w:topLinePunct w:val="0"/>
        <w:autoSpaceDE/>
        <w:autoSpaceDN/>
        <w:bidi w:val="0"/>
        <w:adjustRightInd/>
        <w:snapToGrid/>
        <w:spacing w:before="0" w:after="0" w:line="560" w:lineRule="exact"/>
        <w:ind w:left="0" w:leftChars="0" w:right="0" w:rightChars="0" w:firstLine="632" w:firstLineChars="200"/>
        <w:jc w:val="both"/>
        <w:textAlignment w:val="auto"/>
        <w:outlineLvl w:val="9"/>
        <w:rPr>
          <w:rFonts w:hint="eastAsia" w:ascii="宋体" w:hAnsi="宋体" w:eastAsia="仿宋_GB2312" w:cs="黑体"/>
          <w:b w:val="0"/>
          <w:bCs w:val="0"/>
          <w:i w:val="0"/>
          <w:outline w:val="0"/>
          <w:shadow w:val="0"/>
          <w:emboss w:val="0"/>
          <w:imprint w:val="0"/>
          <w:snapToGrid/>
          <w:vanish w:val="0"/>
          <w:color w:val="000000"/>
          <w:spacing w:val="0"/>
          <w:w w:val="100"/>
          <w:kern w:val="2"/>
          <w:position w:val="0"/>
          <w:sz w:val="32"/>
          <w:szCs w:val="22"/>
          <w:u w:val="none"/>
        </w:rPr>
      </w:pPr>
      <w:r>
        <w:rPr>
          <w:rFonts w:ascii="宋体" w:hAnsi="宋体" w:eastAsia="仿宋_GB2312"/>
          <w:b w:val="0"/>
          <w:i w:val="0"/>
          <w:outline w:val="0"/>
          <w:shadow w:val="0"/>
          <w:emboss w:val="0"/>
          <w:imprint w:val="0"/>
          <w:snapToGrid/>
          <w:vanish w:val="0"/>
          <w:color w:val="000000"/>
          <w:spacing w:val="0"/>
          <w:w w:val="100"/>
          <w:kern w:val="2"/>
          <w:position w:val="0"/>
          <w:sz w:val="32"/>
          <w:u w:val="none"/>
        </w:rPr>
        <w:drawing>
          <wp:anchor distT="0" distB="0" distL="114300" distR="114300" simplePos="0" relativeHeight="251660288" behindDoc="0" locked="0" layoutInCell="1" allowOverlap="1">
            <wp:simplePos x="0" y="0"/>
            <wp:positionH relativeFrom="column">
              <wp:posOffset>135890</wp:posOffset>
            </wp:positionH>
            <wp:positionV relativeFrom="paragraph">
              <wp:posOffset>445770</wp:posOffset>
            </wp:positionV>
            <wp:extent cx="5271135" cy="3244215"/>
            <wp:effectExtent l="0" t="0" r="5715" b="13335"/>
            <wp:wrapSquare wrapText="bothSides"/>
            <wp:docPr id="5" name="图片 5" descr="167521786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5217866199"/>
                    <pic:cNvPicPr>
                      <a:picLocks noChangeAspect="1"/>
                    </pic:cNvPicPr>
                  </pic:nvPicPr>
                  <pic:blipFill>
                    <a:blip r:embed="rId8"/>
                    <a:stretch>
                      <a:fillRect/>
                    </a:stretch>
                  </pic:blipFill>
                  <pic:spPr>
                    <a:xfrm>
                      <a:off x="0" y="0"/>
                      <a:ext cx="5271135" cy="3244215"/>
                    </a:xfrm>
                    <a:prstGeom prst="rect">
                      <a:avLst/>
                    </a:prstGeom>
                  </pic:spPr>
                </pic:pic>
              </a:graphicData>
            </a:graphic>
          </wp:anchor>
        </w:drawing>
      </w:r>
    </w:p>
    <w:p>
      <w:pPr>
        <w:pStyle w:val="2"/>
        <w:keepNext w:val="0"/>
        <w:keepLines w:val="0"/>
        <w:pageBreakBefore w:val="0"/>
        <w:widowControl/>
        <w:kinsoku/>
        <w:wordWrap/>
        <w:overflowPunct/>
        <w:topLinePunct w:val="0"/>
        <w:bidi w:val="0"/>
        <w:adjustRightInd/>
        <w:snapToGrid/>
        <w:spacing w:before="0" w:beforeLines="0" w:after="0" w:afterLines="0" w:line="560" w:lineRule="exact"/>
        <w:textAlignment w:val="auto"/>
        <w:rPr>
          <w:rFonts w:hint="eastAsia" w:ascii="黑体" w:hAnsi="宋体" w:eastAsia="黑体" w:cs="黑体"/>
          <w:b w:val="0"/>
          <w:bCs w:val="0"/>
          <w:kern w:val="0"/>
          <w:sz w:val="22"/>
          <w:szCs w:val="22"/>
        </w:rPr>
      </w:pPr>
      <w:r>
        <w:rPr>
          <w:rFonts w:hint="eastAsia" w:ascii="黑体" w:hAnsi="宋体" w:eastAsia="黑体" w:cs="黑体"/>
          <w:b w:val="0"/>
          <w:bCs w:val="0"/>
          <w:kern w:val="0"/>
          <w:sz w:val="22"/>
          <w:szCs w:val="22"/>
        </w:rPr>
        <w:t xml:space="preserve"> </w:t>
      </w:r>
    </w:p>
    <w:p>
      <w:pPr>
        <w:pStyle w:val="2"/>
        <w:keepNext w:val="0"/>
        <w:keepLines w:val="0"/>
        <w:pageBreakBefore w:val="0"/>
        <w:widowControl/>
        <w:kinsoku/>
        <w:wordWrap/>
        <w:overflowPunct/>
        <w:topLinePunct w:val="0"/>
        <w:bidi w:val="0"/>
        <w:adjustRightInd/>
        <w:snapToGrid/>
        <w:spacing w:before="0" w:beforeLines="0" w:after="0" w:afterLines="0" w:line="560" w:lineRule="exact"/>
        <w:textAlignment w:val="auto"/>
        <w:rPr>
          <w:rFonts w:hint="eastAsia" w:ascii="黑体" w:hAnsi="宋体" w:eastAsia="黑体" w:cs="黑体"/>
          <w:b w:val="0"/>
          <w:bCs w:val="0"/>
          <w:kern w:val="0"/>
          <w:sz w:val="22"/>
          <w:szCs w:val="22"/>
        </w:rPr>
      </w:pPr>
      <w:r>
        <w:rPr>
          <w:rFonts w:hint="eastAsia" w:ascii="黑体" w:hAnsi="宋体" w:eastAsia="黑体" w:cs="黑体"/>
          <w:b w:val="0"/>
          <w:bCs w:val="0"/>
          <w:kern w:val="0"/>
          <w:sz w:val="22"/>
          <w:szCs w:val="22"/>
        </w:rPr>
        <w:t xml:space="preserve"> </w:t>
      </w:r>
    </w:p>
    <w:p>
      <w:pPr>
        <w:pStyle w:val="2"/>
        <w:keepNext w:val="0"/>
        <w:keepLines w:val="0"/>
        <w:pageBreakBefore w:val="0"/>
        <w:kinsoku/>
        <w:wordWrap/>
        <w:overflowPunct/>
        <w:topLinePunct w:val="0"/>
        <w:bidi w:val="0"/>
        <w:adjustRightInd/>
        <w:snapToGrid/>
        <w:spacing w:before="0" w:beforeLines="0" w:after="0" w:afterLines="0" w:line="560" w:lineRule="exact"/>
        <w:textAlignment w:val="auto"/>
        <w:rPr>
          <w:rFonts w:hint="eastAsia" w:ascii="黑体" w:hAnsi="宋体" w:eastAsia="黑体" w:cs="黑体"/>
          <w:b w:val="0"/>
          <w:bCs w:val="0"/>
          <w:kern w:val="0"/>
          <w:sz w:val="22"/>
          <w:szCs w:val="22"/>
          <w:lang w:eastAsia="zh-CN"/>
        </w:rPr>
      </w:pPr>
      <w:r>
        <w:rPr>
          <w:rFonts w:hint="eastAsia" w:ascii="黑体" w:hAnsi="宋体" w:eastAsia="黑体" w:cs="黑体"/>
          <w:b w:val="0"/>
          <w:bCs w:val="0"/>
          <w:kern w:val="0"/>
          <w:sz w:val="22"/>
          <w:szCs w:val="22"/>
        </w:rPr>
        <w:t xml:space="preserve"> </w:t>
      </w:r>
    </w:p>
    <w:p>
      <w:pPr>
        <w:pStyle w:val="2"/>
        <w:keepNext w:val="0"/>
        <w:keepLines w:val="0"/>
        <w:pageBreakBefore w:val="0"/>
        <w:widowControl/>
        <w:kinsoku/>
        <w:wordWrap/>
        <w:overflowPunct/>
        <w:topLinePunct w:val="0"/>
        <w:bidi w:val="0"/>
        <w:adjustRightInd/>
        <w:snapToGrid/>
        <w:spacing w:before="0" w:beforeLines="0" w:after="0" w:afterLines="0" w:line="560" w:lineRule="exact"/>
        <w:textAlignment w:val="auto"/>
        <w:rPr>
          <w:rFonts w:hint="eastAsia" w:ascii="黑体" w:hAnsi="宋体" w:eastAsia="黑体" w:cs="黑体"/>
          <w:b w:val="0"/>
          <w:bCs w:val="0"/>
          <w:kern w:val="0"/>
          <w:sz w:val="22"/>
          <w:szCs w:val="22"/>
        </w:rPr>
        <w:sectPr>
          <w:footerReference r:id="rId4" w:type="first"/>
          <w:footerReference r:id="rId3" w:type="default"/>
          <w:pgSz w:w="11907" w:h="16840"/>
          <w:pgMar w:top="2098" w:right="1474" w:bottom="1984" w:left="1588" w:header="851" w:footer="1361" w:gutter="0"/>
          <w:pgNumType w:fmt="decimal"/>
          <w:cols w:space="0" w:num="1"/>
          <w:titlePg/>
          <w:rtlGutter w:val="0"/>
          <w:docGrid w:type="linesAndChars" w:linePitch="579" w:charSpace="-842"/>
        </w:sectPr>
      </w:pPr>
      <w:r>
        <w:rPr>
          <w:rFonts w:hint="eastAsia" w:ascii="黑体" w:hAnsi="宋体" w:eastAsia="黑体" w:cs="黑体"/>
          <w:b w:val="0"/>
          <w:bCs w:val="0"/>
          <w:kern w:val="0"/>
          <w:sz w:val="22"/>
          <w:szCs w:val="22"/>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黑体" w:hAnsi="黑体" w:eastAsia="黑体" w:cs="黑体"/>
          <w:b w:val="0"/>
          <w:bCs w:val="0"/>
          <w:i w:val="0"/>
          <w:outline w:val="0"/>
          <w:shadow w:val="0"/>
          <w:emboss w:val="0"/>
          <w:imprint w:val="0"/>
          <w:snapToGrid/>
          <w:vanish w:val="0"/>
          <w:color w:val="000000"/>
          <w:spacing w:val="0"/>
          <w:w w:val="100"/>
          <w:kern w:val="2"/>
          <w:position w:val="0"/>
          <w:sz w:val="32"/>
          <w:szCs w:val="22"/>
          <w:u w:val="none"/>
        </w:rPr>
      </w:pPr>
      <w:r>
        <w:rPr>
          <w:rFonts w:hint="eastAsia" w:ascii="黑体" w:hAnsi="黑体" w:eastAsia="黑体" w:cs="黑体"/>
          <w:b w:val="0"/>
          <w:bCs w:val="0"/>
          <w:i w:val="0"/>
          <w:outline w:val="0"/>
          <w:shadow w:val="0"/>
          <w:emboss w:val="0"/>
          <w:imprint w:val="0"/>
          <w:snapToGrid/>
          <w:vanish w:val="0"/>
          <w:color w:val="000000"/>
          <w:spacing w:val="0"/>
          <w:w w:val="100"/>
          <w:kern w:val="2"/>
          <w:position w:val="0"/>
          <w:sz w:val="32"/>
          <w:szCs w:val="22"/>
          <w:u w:val="none"/>
        </w:rPr>
        <w:t>附件2</w:t>
      </w:r>
    </w:p>
    <w:p>
      <w:pPr>
        <w:pStyle w:val="2"/>
        <w:rPr>
          <w:rFonts w:hint="eastAsia" w:ascii="黑体" w:hAnsi="黑体" w:eastAsia="黑体" w:cs="黑体"/>
          <w:b w:val="0"/>
          <w:bCs w:val="0"/>
          <w:i w:val="0"/>
          <w:snapToGrid/>
          <w:vanish w:val="0"/>
          <w:spacing w:val="0"/>
          <w:w w:val="100"/>
          <w:kern w:val="2"/>
          <w:position w:val="0"/>
          <w:sz w:val="32"/>
          <w:szCs w:val="22"/>
          <w:u w:val="none"/>
        </w:rPr>
      </w:pPr>
      <w:r>
        <w:drawing>
          <wp:anchor distT="0" distB="0" distL="114300" distR="114300" simplePos="0" relativeHeight="251661312" behindDoc="1" locked="0" layoutInCell="1" allowOverlap="1">
            <wp:simplePos x="0" y="0"/>
            <wp:positionH relativeFrom="column">
              <wp:posOffset>-18415</wp:posOffset>
            </wp:positionH>
            <wp:positionV relativeFrom="paragraph">
              <wp:posOffset>274955</wp:posOffset>
            </wp:positionV>
            <wp:extent cx="8208645" cy="1570990"/>
            <wp:effectExtent l="0" t="0" r="190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8208645" cy="1570990"/>
                    </a:xfrm>
                    <a:prstGeom prst="rect">
                      <a:avLst/>
                    </a:prstGeom>
                    <a:noFill/>
                    <a:ln>
                      <a:noFill/>
                    </a:ln>
                  </pic:spPr>
                </pic:pic>
              </a:graphicData>
            </a:graphic>
          </wp:anchor>
        </w:drawing>
      </w:r>
    </w:p>
    <w:p>
      <w:pPr>
        <w:rPr>
          <w:rFonts w:hint="eastAsia" w:ascii="黑体" w:hAnsi="黑体" w:eastAsia="黑体" w:cs="黑体"/>
          <w:b w:val="0"/>
          <w:bCs w:val="0"/>
          <w:i w:val="0"/>
          <w:snapToGrid/>
          <w:vanish w:val="0"/>
          <w:spacing w:val="0"/>
          <w:w w:val="100"/>
          <w:kern w:val="2"/>
          <w:position w:val="0"/>
          <w:sz w:val="32"/>
          <w:szCs w:val="22"/>
          <w:u w:val="none"/>
        </w:rPr>
      </w:pPr>
    </w:p>
    <w:p>
      <w:pPr>
        <w:pStyle w:val="2"/>
        <w:rPr>
          <w:rFonts w:hint="eastAsia" w:ascii="黑体" w:hAnsi="黑体" w:eastAsia="黑体" w:cs="黑体"/>
          <w:b w:val="0"/>
          <w:bCs w:val="0"/>
          <w:i w:val="0"/>
          <w:snapToGrid/>
          <w:vanish w:val="0"/>
          <w:spacing w:val="0"/>
          <w:w w:val="100"/>
          <w:kern w:val="2"/>
          <w:position w:val="0"/>
          <w:sz w:val="32"/>
          <w:szCs w:val="22"/>
          <w:u w:val="none"/>
        </w:rPr>
      </w:pPr>
    </w:p>
    <w:p>
      <w:pPr>
        <w:rPr>
          <w:rFonts w:hint="eastAsia" w:ascii="黑体" w:hAnsi="黑体" w:eastAsia="黑体" w:cs="黑体"/>
          <w:b w:val="0"/>
          <w:bCs w:val="0"/>
          <w:i w:val="0"/>
          <w:snapToGrid/>
          <w:vanish w:val="0"/>
          <w:spacing w:val="0"/>
          <w:w w:val="100"/>
          <w:kern w:val="2"/>
          <w:position w:val="0"/>
          <w:sz w:val="32"/>
          <w:szCs w:val="22"/>
          <w:u w:val="none"/>
        </w:rPr>
      </w:pPr>
    </w:p>
    <w:p>
      <w:pPr>
        <w:pStyle w:val="2"/>
        <w:rPr>
          <w:rFonts w:hint="eastAsia"/>
        </w:rPr>
      </w:pPr>
    </w:p>
    <w:p>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560" w:lineRule="exact"/>
        <w:ind w:left="0" w:right="0"/>
        <w:jc w:val="left"/>
        <w:textAlignment w:val="auto"/>
      </w:pPr>
    </w:p>
    <w:p>
      <w:pPr>
        <w:keepNext w:val="0"/>
        <w:keepLines w:val="0"/>
        <w:pageBreakBefore w:val="0"/>
        <w:kinsoku/>
        <w:wordWrap/>
        <w:overflowPunct/>
        <w:topLinePunct w:val="0"/>
        <w:bidi w:val="0"/>
        <w:adjustRightInd/>
        <w:snapToGrid/>
        <w:spacing w:line="560" w:lineRule="exact"/>
        <w:textAlignment w:val="auto"/>
        <w:rPr>
          <w:rFonts w:hint="eastAsia" w:ascii="宋体" w:hAnsi="宋体" w:eastAsia="黑体" w:cs="宋体"/>
          <w:sz w:val="22"/>
          <w:szCs w:val="22"/>
        </w:rPr>
        <w:sectPr>
          <w:pgSz w:w="16838" w:h="11905" w:orient="landscape"/>
          <w:pgMar w:top="1474" w:right="1984" w:bottom="1587" w:left="2098" w:header="851" w:footer="1361" w:gutter="0"/>
          <w:pgNumType w:fmt="decimal"/>
          <w:cols w:space="0" w:num="1"/>
          <w:titlePg/>
          <w:rtlGutter w:val="0"/>
          <w:docGrid w:type="linesAndChars" w:linePitch="589" w:charSpace="-842"/>
        </w:sectPr>
      </w:pP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right="0" w:rightChars="0"/>
        <w:jc w:val="both"/>
        <w:textAlignment w:val="auto"/>
        <w:outlineLvl w:val="9"/>
        <w:rPr>
          <w:rFonts w:hint="eastAsia" w:ascii="黑体" w:hAnsi="黑体" w:eastAsia="黑体" w:cs="宋体"/>
          <w:b w:val="0"/>
          <w:i w:val="0"/>
          <w:outline w:val="0"/>
          <w:shadow w:val="0"/>
          <w:emboss w:val="0"/>
          <w:imprint w:val="0"/>
          <w:snapToGrid/>
          <w:vanish w:val="0"/>
          <w:color w:val="000000"/>
          <w:spacing w:val="0"/>
          <w:w w:val="100"/>
          <w:kern w:val="2"/>
          <w:position w:val="0"/>
          <w:sz w:val="32"/>
          <w:szCs w:val="32"/>
          <w:u w:val="none"/>
          <w:lang w:val="en-US" w:eastAsia="zh-CN" w:bidi="ar"/>
        </w:rPr>
      </w:pPr>
      <w:r>
        <w:rPr>
          <w:rFonts w:hint="eastAsia" w:ascii="黑体" w:hAnsi="黑体" w:eastAsia="黑体" w:cs="宋体"/>
          <w:b w:val="0"/>
          <w:i w:val="0"/>
          <w:outline w:val="0"/>
          <w:shadow w:val="0"/>
          <w:emboss w:val="0"/>
          <w:imprint w:val="0"/>
          <w:snapToGrid/>
          <w:vanish w:val="0"/>
          <w:color w:val="000000"/>
          <w:spacing w:val="0"/>
          <w:w w:val="100"/>
          <w:kern w:val="2"/>
          <w:position w:val="0"/>
          <w:sz w:val="32"/>
          <w:szCs w:val="32"/>
          <w:u w:val="none"/>
          <w:lang w:val="en-US" w:eastAsia="zh-CN" w:bidi="ar"/>
        </w:rPr>
        <w:t>附件3</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宋体"/>
          <w:b w:val="0"/>
          <w:i w:val="0"/>
          <w:outline w:val="0"/>
          <w:shadow w:val="0"/>
          <w:emboss w:val="0"/>
          <w:imprint w:val="0"/>
          <w:snapToGrid/>
          <w:vanish w:val="0"/>
          <w:color w:val="000000"/>
          <w:spacing w:val="0"/>
          <w:w w:val="100"/>
          <w:kern w:val="2"/>
          <w:position w:val="0"/>
          <w:sz w:val="32"/>
          <w:szCs w:val="32"/>
          <w:u w:val="none"/>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outlineLvl w:val="9"/>
        <w:rPr>
          <w:rFonts w:hint="eastAsia" w:ascii="方正小标宋简体" w:hAnsi="方正小标宋简体" w:eastAsia="方正小标宋简体" w:cs="宋体"/>
          <w:b w:val="0"/>
          <w:bCs w:val="0"/>
          <w:i w:val="0"/>
          <w:outline w:val="0"/>
          <w:shadow w:val="0"/>
          <w:emboss w:val="0"/>
          <w:imprint w:val="0"/>
          <w:snapToGrid/>
          <w:vanish w:val="0"/>
          <w:color w:val="000000"/>
          <w:spacing w:val="0"/>
          <w:w w:val="100"/>
          <w:kern w:val="2"/>
          <w:position w:val="0"/>
          <w:sz w:val="44"/>
          <w:szCs w:val="22"/>
          <w:u w:val="none"/>
        </w:rPr>
      </w:pPr>
      <w:r>
        <w:rPr>
          <w:rFonts w:hint="eastAsia" w:ascii="方正小标宋简体" w:hAnsi="方正小标宋简体" w:eastAsia="方正小标宋简体" w:cs="方正小标宋简体"/>
          <w:b w:val="0"/>
          <w:bCs w:val="0"/>
          <w:i w:val="0"/>
          <w:outline w:val="0"/>
          <w:shadow w:val="0"/>
          <w:emboss w:val="0"/>
          <w:imprint w:val="0"/>
          <w:snapToGrid/>
          <w:vanish w:val="0"/>
          <w:color w:val="000000"/>
          <w:spacing w:val="0"/>
          <w:w w:val="100"/>
          <w:kern w:val="2"/>
          <w:position w:val="0"/>
          <w:sz w:val="44"/>
          <w:szCs w:val="44"/>
          <w:u w:val="none"/>
          <w:lang w:val="en-US" w:eastAsia="zh-CN"/>
        </w:rPr>
        <w:t>里水镇专精特新企业集聚园区项目</w:t>
      </w:r>
      <w:r>
        <w:rPr>
          <w:rFonts w:hint="eastAsia" w:ascii="方正小标宋简体" w:hAnsi="方正小标宋简体" w:eastAsia="方正小标宋简体" w:cs="方正粗黑宋简体"/>
          <w:b w:val="0"/>
          <w:bCs w:val="0"/>
          <w:i w:val="0"/>
          <w:outline w:val="0"/>
          <w:shadow w:val="0"/>
          <w:emboss w:val="0"/>
          <w:imprint w:val="0"/>
          <w:snapToGrid/>
          <w:vanish w:val="0"/>
          <w:color w:val="000000"/>
          <w:spacing w:val="0"/>
          <w:w w:val="100"/>
          <w:kern w:val="2"/>
          <w:position w:val="0"/>
          <w:sz w:val="44"/>
          <w:szCs w:val="44"/>
          <w:u w:val="none"/>
          <w:lang w:val="en-US" w:eastAsia="zh-CN" w:bidi="ar"/>
        </w:rPr>
        <w:t>土地和房屋（非住宅）征收补偿安置方案</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宋体"/>
          <w:b w:val="0"/>
          <w:i w:val="0"/>
          <w:outline w:val="0"/>
          <w:shadow w:val="0"/>
          <w:emboss w:val="0"/>
          <w:imprint w:val="0"/>
          <w:snapToGrid/>
          <w:vanish w:val="0"/>
          <w:color w:val="000000"/>
          <w:spacing w:val="0"/>
          <w:w w:val="100"/>
          <w:kern w:val="2"/>
          <w:position w:val="0"/>
          <w:sz w:val="32"/>
          <w:szCs w:val="20"/>
          <w:u w:val="none"/>
        </w:rPr>
      </w:pP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为顺利实施里水镇专精特新企业集聚园区项目的建设，维护被征收单位和个人的合法权益，根据《中华人民共和国土地管理法》《中华人民共和国土地管理法实施条例》等法律法规以及省、市、区有关征收规定、政策和文件精神，结合里水镇的实际情况，制定本征收补偿方案。</w:t>
      </w:r>
    </w:p>
    <w:p>
      <w:pPr>
        <w:pStyle w:val="6"/>
        <w:keepNext w:val="0"/>
        <w:keepLines w:val="0"/>
        <w:pageBreakBefore w:val="0"/>
        <w:widowControl w:val="0"/>
        <w:numPr>
          <w:ilvl w:val="0"/>
          <w:numId w:val="1"/>
        </w:numPr>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建设项目</w:t>
      </w:r>
    </w:p>
    <w:p>
      <w:pPr>
        <w:pStyle w:val="3"/>
        <w:keepNext w:val="0"/>
        <w:keepLines w:val="0"/>
        <w:pageBreakBefore w:val="0"/>
        <w:widowControl w:val="0"/>
        <w:tabs>
          <w:tab w:val="left" w:pos="6418"/>
        </w:tabs>
        <w:kinsoku/>
        <w:wordWrap/>
        <w:overflowPunct/>
        <w:topLinePunct w:val="0"/>
        <w:autoSpaceDE/>
        <w:autoSpaceDN/>
        <w:bidi w:val="0"/>
        <w:adjustRightInd/>
        <w:snapToGrid/>
        <w:spacing w:line="560" w:lineRule="exact"/>
        <w:ind w:left="0" w:leftChars="0" w:right="0" w:rightChars="0" w:firstLine="632" w:firstLineChars="200"/>
        <w:jc w:val="both"/>
        <w:textAlignment w:val="auto"/>
        <w:outlineLvl w:val="9"/>
        <w:rPr>
          <w:rFonts w:hint="eastAsia" w:ascii="宋体" w:hAnsi="宋体" w:eastAsia="仿宋_GB2312" w:cs="仿宋_GB2312"/>
          <w:b w:val="0"/>
          <w:bCs/>
          <w:i w:val="0"/>
          <w:outline w:val="0"/>
          <w:shadow w:val="0"/>
          <w:emboss w:val="0"/>
          <w:imprint w:val="0"/>
          <w:snapToGrid/>
          <w:vanish w:val="0"/>
          <w:color w:val="000000"/>
          <w:spacing w:val="0"/>
          <w:w w:val="100"/>
          <w:kern w:val="2"/>
          <w:position w:val="0"/>
          <w:sz w:val="32"/>
          <w:szCs w:val="32"/>
          <w:u w:val="none"/>
          <w:lang w:val="en-US" w:eastAsia="zh-CN" w:bidi="ar"/>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zh-CN" w:eastAsia="zh-CN"/>
        </w:rPr>
        <w:t>里水镇专精特新企业集聚园区</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rPr>
        <w:t>项目</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t>。</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二、征收范围、对象</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征收范围：</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项目征地红线涉及的用地范围。</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征收对象：</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征收红线范围内的土地及所有建（构）筑物及附着物。</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三、土地、建（构）筑物补偿需提供的权属证明材料</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（一）《土地使用证》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（二）《房屋所有权证》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（三）《房地产权证》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（四）《不动产权证》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（五）《集体土地所有权证》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（六）其他权属证明材料</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四、土地、建（构）筑物的面积认定</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（一）原则上按权属证载面积作为认定的依据；</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（二）若对证载面积有异议的，由有资质的测绘机构进行测绘，实测面积大于证载面积的，按实测面积认定；</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（三）属于本方案补偿对象，没有权属证载面积的，可由有资质的测绘机构进行测绘，按实际测绘面积计算。</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五、征收补偿方式及签约期限</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（一）本项目主要采取货币补偿形式。</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（二）征收补偿协议签约期限：自征收补偿安置公告发布之日起6个月内；搬迁期限：自征收补偿安置公告发布之日起7个月内。</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六、征地补偿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（一）农用地和未利用地补偿标准为40万元/亩（含土地补偿、安置补助费）。</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（二）有证建设用地的补偿标准：由有资质的评估中介机构对土地价值进行评估，按评估结果进行补偿，且不低于农用地补偿标准。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（三）无证事实建设用地的补偿标准：未办理建设用地手续但已经填土的，并且现状已经有建筑物的，土地补偿标准按照有证集体建设用地补偿标准扣除农用地转用办证费后的金额。</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（四）土地发生填土或平整的，按3万元/亩补偿。如被征收人有异议，由有资质的评估中介机构进行评估，按评估结果进行补偿。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（五）留用地安置实施方式：</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rPr>
        <w:t>不再实施实地留地，留用地指标面积按实际征收农村集体经济组织土地15%计算：</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留用地指标转为折算货币补偿，补偿标准按本项目有证集体建设用地评估价，且不低于折算时被征收土地所在地的工业用地级别基准地价。</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七、社会保障费</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按《广东省人民政府办公厅转发省人力资源社会保障厅关于进一步完善我省被征地农民养老保障政策意见的通知》（粤府办〔2021〕22号）、《关于设立被征地农民社会保障资金专户的意见》（粤财社函〔2007〕151号）和《佛山市南海区人民政府办公室关于印发佛山市南海区被征地农村居民养老保障实施方案的通知》（南府办函〔2022〕22号）文件相关规定执行。</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楷体"/>
          <w:b w:val="0"/>
          <w:bCs/>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楷体"/>
          <w:b w:val="0"/>
          <w:bCs/>
          <w:i w:val="0"/>
          <w:outline w:val="0"/>
          <w:shadow w:val="0"/>
          <w:emboss w:val="0"/>
          <w:imprint w:val="0"/>
          <w:snapToGrid/>
          <w:vanish w:val="0"/>
          <w:color w:val="000000"/>
          <w:spacing w:val="0"/>
          <w:w w:val="100"/>
          <w:kern w:val="2"/>
          <w:position w:val="0"/>
          <w:sz w:val="32"/>
          <w:szCs w:val="32"/>
          <w:u w:val="none"/>
          <w:lang w:val="en-US" w:eastAsia="zh-CN" w:bidi="ar"/>
        </w:rPr>
        <w:t>（一）征地社保费计提标准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根据南府办函〔2022〕22号文规定，我区每征1亩地，按照2.1万元/亩的标准计提征地社保费。被征收土地属于农村集体经济组织留用地的，不计提征地社保费。</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楷体"/>
          <w:b w:val="0"/>
          <w:bCs/>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楷体"/>
          <w:b w:val="0"/>
          <w:bCs/>
          <w:i w:val="0"/>
          <w:outline w:val="0"/>
          <w:shadow w:val="0"/>
          <w:emboss w:val="0"/>
          <w:imprint w:val="0"/>
          <w:snapToGrid/>
          <w:vanish w:val="0"/>
          <w:color w:val="000000"/>
          <w:spacing w:val="0"/>
          <w:w w:val="100"/>
          <w:kern w:val="2"/>
          <w:position w:val="0"/>
          <w:sz w:val="32"/>
          <w:szCs w:val="32"/>
          <w:u w:val="none"/>
          <w:lang w:val="en-US" w:eastAsia="zh-CN" w:bidi="ar"/>
        </w:rPr>
        <w:t>（二）需计提征地社保费总面积及总金额</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该项目拟征收土地位于南海区里水镇辖区内，需计提征地社保费总面积约583.9725亩，按每亩2.1万元计提，合计约1226.3423万元（具体面积以自然资源部门核定为准，实际金额以人社部门核定为准）。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楷体"/>
          <w:b w:val="0"/>
          <w:bCs/>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楷体"/>
          <w:b w:val="0"/>
          <w:bCs/>
          <w:i w:val="0"/>
          <w:outline w:val="0"/>
          <w:shadow w:val="0"/>
          <w:emboss w:val="0"/>
          <w:imprint w:val="0"/>
          <w:snapToGrid/>
          <w:vanish w:val="0"/>
          <w:color w:val="000000"/>
          <w:spacing w:val="0"/>
          <w:w w:val="100"/>
          <w:kern w:val="2"/>
          <w:position w:val="0"/>
          <w:sz w:val="32"/>
          <w:szCs w:val="32"/>
          <w:u w:val="none"/>
          <w:lang w:val="en-US" w:eastAsia="zh-CN" w:bidi="ar"/>
        </w:rPr>
        <w:t>（三）征地社保费补贴对象及分配方式</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征地安置补偿方案发布之日，属于</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u w:val="none"/>
          <w:lang w:val="en-US" w:eastAsia="zh-CN"/>
        </w:rPr>
        <w:t>里水镇专精特新企业集聚园区</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u w:val="none"/>
          <w:lang w:eastAsia="zh-CN"/>
        </w:rPr>
        <w:t>项目</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涉及被征地单位的农村集体经济组织成员（不限年龄），均纳入本次征地社保费补贴对象范围。按规定计提的征地社保费（含利息）平均分配至上述补贴对象，落实养老保障（具体人员名单以所在镇核定为准）。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八、建（构）筑物补偿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（一）建（构）筑物补偿申请人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符合以下条件之一的，可视为建（构）筑物补偿申请人：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1.建（构）筑物所有权人或投资人。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6"/>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2.建（构）</w:t>
      </w:r>
      <w:r>
        <w:rPr>
          <w:rFonts w:hint="eastAsia" w:ascii="宋体" w:hAnsi="宋体" w:eastAsia="仿宋_GB2312" w:cs="仿宋_GB2312"/>
          <w:b w:val="0"/>
          <w:i w:val="0"/>
          <w:outline w:val="0"/>
          <w:shadow w:val="0"/>
          <w:emboss w:val="0"/>
          <w:imprint w:val="0"/>
          <w:snapToGrid/>
          <w:vanish w:val="0"/>
          <w:color w:val="000000"/>
          <w:spacing w:val="6"/>
          <w:w w:val="100"/>
          <w:kern w:val="2"/>
          <w:position w:val="0"/>
          <w:sz w:val="32"/>
          <w:szCs w:val="32"/>
          <w:u w:val="none"/>
          <w:lang w:val="en-US" w:eastAsia="zh-CN" w:bidi="ar"/>
        </w:rPr>
        <w:t>筑物出租后涉及加建、改建的其所有权人或投资人。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3.有相关资料可以证明其为建（构）筑物权属人。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被征收建（构）筑物的补偿涉及不同的申请人，由申请人提交租赁合同或其他证明材料，需在测绘、评估时分别进行确认，经征收实施单位工作人员现场核实。</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（二）建（构）筑物的类别</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有证建筑物是指有房屋所有权证或者有镇（街道）或以上规划建设部门审批手续（含有备案手续）的建（构）筑物（包括1993年6月23日南海城乡规划局成立前已使用的历史物业）。历史物业需由所在地村（居）或村小组确认，提交相关的证明材料（包括租赁合同等）。</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2.无证建筑是指1993年6月23日南海城乡规划局成立后，物业建设未经镇（街道）或以上规划建设部门审批而擅自兴建使用的建筑物，视为无证建筑。</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（三）建（构）筑物的补偿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1.被征收的地上建筑物由房地产评估机构根据测绘结果进行评估补偿（含建（构）筑物、水电设施、装修等建设费用）。有证建筑物以重置价补偿，无证建筑物按建安成本价给予补偿。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2.建（构）筑物补偿，按原合同约定的比例或双方协商的比例进行补偿。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default"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因项目征收涉及征收红线范围内、外为同一权属地块，并因征收导致红线范围外用地丧失原使用功能的，对其提出申请要求一并拆除超出红线范围建（构）筑物的，经区镇两级征收部门、项目业主单位确认，按照征收红线范围内的建（构）筑物的补偿标准进行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九、搬迁补偿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（一）搬迁补偿申请人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1.如被征收建（构）筑物或场地所有权人与实际使用人为同一主体的（自然人、法人、非法人组织），被征收建（构）筑物或场地所有权人为搬迁补偿申请人。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2.如被征收建（构）筑物或场地合法所有权人与实际使用人为不同主体的，存在如下情形之一，可视为搬迁补偿申请人：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（1）以被征收建（构）筑物或场地位置作为经营场所或合法证照登记场所的，且能提供未到期的租赁合同的公司、企业、单位、个体工商户等。</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（2）以被征收建（构）筑物或场地作为储放物品或设备的，且能提供未到期的租赁合同的公司、企业、单位、个体工商户等。</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（3）以被征收建（构）筑物或场地作为经营、储放物品或设备的，租赁合同虽到期但能提供场地合法使用的证明材料的公司、企业、单位、个体工商户等。</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被征收建（构）筑物或场地的搬迁补偿涉及不同的申请人，由申请人提交租赁合同或场地合法使用其他证明材料，需在测绘、评估时分别进行确认，经征收实施单位工作人员现场核实。</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（二）搬迁补偿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1.原材料、半成品、成品、一般性设备由评估机构作搬迁评估，按评估结果补偿。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2.生产线设备和特殊设备由有资质的评估机构进行评估，按评估结果补偿。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3.如需二次搬迁的，由补偿申请人提出书面申请，相关单位核实，按第一次搬迁的标准补偿。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厂企临时租金补偿由评估机构按当时、当地的租金价格进行评估或厂企原租赁合同的租金标准作为补偿依据，按拆迁面积乘以单价计算，补偿12个月。</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（四）因征收厂企造成停产停业损失的补偿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因征收厂企造成的停产停业损失的补偿，原则上按照预公告作出前1年内实际月平均税后利润为准，不能提供纳税情况等证明或者无法核算税后利润的，参照上年度本地区同行业平均税后利润额或者同类厂房市场租金计算，补偿6个月。</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2.工人安置费用补偿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人数核定：该单位在本方案公告之日在社保部门登记的人数确定或由该单位提供工人工资支付凭证及其他相关材料证明在本方案公告之日的工人人数。如有争议，由该单位按照相关法律程序交由有关职能部门裁决，确定工人人数。</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（2）补偿标准：按本方案公告之日政府部门已发布的最新当地职工月人均工资标准作为月均补偿标准。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（3）厂企停产停业的工人安置补偿期限：因征收引起厂企停产停业的工人安置按实际受影响人数补偿，补偿6个月。</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十、租金补偿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在征收土地预公告发布前已签订租赁合同或承包合同的，被征收后剩余租赁年限的租金损失或承包费损失，按评估结果补偿给承租人或承包人。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管线迁改施工如发生临时占地（施工单位驻地、加工场地及非正常施工损坏的除外）需补偿的，由有资质的评估中介机构对施工临时占地租金进行评估，按占地实际使用时间进行补偿，占地范围及占地实际使用时间经参建单位各方共同确认。</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十一、其它补偿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被征地农村集体经济组织申请对征地红线外的边角地、夹心地、河涌及道路用地认定的，征收实施单位应组织项目建设单位及相关部门现场核实，与被征地农村集体经济组织及其他权利人进行认定，并共同签字确认认定结果。</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经认定予以补偿的土地，不纳入土地征收范围，由征收实施单位与被征地农村集体经济组织及其他权利人签订补偿协议，约定今后被纳入征地红线范围时的补偿应扣除已支付的补偿款等内容。属农用地未完全丧失耕作条件的按征地补偿标准的70%补偿，完全丧失耕作条件的按100%补偿；属建设用地的按100%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因本工程项目的征地及拆迁造成周边道路、水系以及各类村政、市政设施和文娱体育设施受影响而需修复和建设的，经区镇两级征收部门核实确认后实施规划、设计，并按经中介审价后的金额进行补偿；可根据实际情况实行货币补偿或实物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（三）因本项目建设造成的其它经济损失，由相关权利人提供合法的依据，按相关规定进行补偿。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十二、奖励</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（一）征地奖励</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被征地集体经济组织在规定时间内签订《征地补偿协议》并移交土地的，征收实施单位给予征地奖励，按征地补偿总额（不含留用地）20%奖励。</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（二）签约奖励</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6"/>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1.建（构）筑物补偿申请人在规定时间内签订关于建（构）</w:t>
      </w:r>
      <w:r>
        <w:rPr>
          <w:rFonts w:hint="eastAsia" w:ascii="宋体" w:hAnsi="宋体" w:eastAsia="仿宋_GB2312" w:cs="仿宋_GB2312"/>
          <w:b w:val="0"/>
          <w:i w:val="0"/>
          <w:outline w:val="0"/>
          <w:shadow w:val="0"/>
          <w:emboss w:val="0"/>
          <w:imprint w:val="0"/>
          <w:snapToGrid/>
          <w:vanish w:val="0"/>
          <w:color w:val="000000"/>
          <w:spacing w:val="6"/>
          <w:w w:val="100"/>
          <w:kern w:val="2"/>
          <w:position w:val="0"/>
          <w:sz w:val="32"/>
          <w:szCs w:val="32"/>
          <w:u w:val="none"/>
          <w:lang w:val="en-US" w:eastAsia="zh-CN" w:bidi="ar"/>
        </w:rPr>
        <w:t>筑物的征收补偿协议，征收实施单位对其实施奖励，奖励标准如下：</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建（构）筑物的补偿总额在1000万元以内（含1000万元）的按20%奖励；补偿总额超过1000万元的部分按10%奖励。最高奖励标准不高于500万元。</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以上计算奖励的补偿总额不含征地、租金、搬迁、停产停业损失、工人安置补偿。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2.如奖励涉及分成的，按拆迁补偿比例计算。</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（三）搬迁移交奖励</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1.在规定时间内签订补偿协议的搬迁补偿申请人，在补偿协议规定的时间内移交建（构）筑物并签订《移交确认书》，征收实施单位对其实施奖励，奖励标准如下：</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搬迁费用总额1000万元以内（含1000万元）的按20%奖励；搬迁费用总额超过1000万元的部分按10%奖励。最高奖励标准不高于500万元。</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以上计算奖励的补偿总额不含征地、建（构）筑物、租金、停产停业损失、工人安置补偿。</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2.建（构）筑物补偿申请人与搬迁申请人不是同一主体，按上述标准只奖励搬迁申请人。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十三、补偿款及奖励金支付</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（一）补偿款支付</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1.补偿协议签订后，征收实施单位支付50%征收补偿款给被征收人；待被征收人完成土地或建（构）筑物等标的物移交后，征收实施单位支付50%征收补偿款给被征收人。</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2.在收取补偿款时应出具相应的合法有效凭证。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3.委托他人签订补偿协议和收取补偿款的，应出具公证书或见证书，或委托人签署委托书须有2名征收实施单位工作人员在场作证。</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楷体_GB2312" w:hAnsi="楷体_GB2312" w:eastAsia="楷体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（二）奖励金支付</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1.被征地集体经济组织在规定的时间内签订征地补偿协议，移交土地并将涉及的不动产权属证书办理变更或注销登记手续，由征收实施单位一次性支付征地奖励金。</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2.在规定的时间内签订建（构）筑物征收补偿协议，并将涉及的不动产权属证书移交给征收实施单位，由征收实施单位一次性支付签约奖励金。</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3.在规定的时间内完成搬迁并交付建（构）筑物，由征收实施单位一次性支付搬迁移交奖励金。</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以上奖励行政事业单位除外。</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bCs/>
          <w:i w:val="0"/>
          <w:outline w:val="0"/>
          <w:shadow w:val="0"/>
          <w:emboss w:val="0"/>
          <w:imprint w:val="0"/>
          <w:snapToGrid/>
          <w:vanish w:val="0"/>
          <w:color w:val="000000"/>
          <w:spacing w:val="0"/>
          <w:w w:val="100"/>
          <w:kern w:val="2"/>
          <w:position w:val="0"/>
          <w:sz w:val="32"/>
          <w:szCs w:val="32"/>
          <w:u w:val="none"/>
          <w:lang w:val="en-US" w:eastAsia="zh-CN" w:bidi="ar"/>
        </w:rPr>
        <w:t>十四、测绘、评估、确认</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（一）评估、测绘单位按相关规定选取确定，如被征收人有异议，可以由征收双方协商共同委托有资质中介实施。</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（二）本项目的测绘费、评估费按行业相关标准或招投标约定标准计算支付。</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（三）由征收实施单位聘请有资质的测绘机构，按《国家标准房产测量规范》实施测绘，并以测绘面积作为建（构）筑物补偿的依据，测绘时由征收实施单位工作人员和被征收人现场确认。</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（四）由征收实施单位聘请具有相应资质的评估机构评估，按《国家标准房地产估价规范》实施评估，评估时由征收实施单位工作人员和被征收人现场确认。</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十五、</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自征收土地预公告发布后，抢建、扩建、加建的地上附着物以及抢栽抢种的农作物不予补偿，并追究相关法律责任。</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十六、</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已补偿的建筑物、附属物等归征收实施单位所有；为了确保清拆过程的安全问题，被征收人以及搬迁补偿申请人应按期搬迁，将建筑物、附属物交给征收实施单位统一实施清拆。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十七、</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权属人的物业已作抵押的，由抵押人与抵押权人重新签订分配补偿款协议，或由抵押人清偿债务并经抵押权人书面证明同意注销原抵押后，征收实施单位根据物业的合法抵押权人与抵押人的协议按评估结果支付补偿款。</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十八、</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征收方案实施完成后，原权属人应同步办理原不动产权属证书注销或变更登记手续。</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十九、</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征收有产权纠纷或因其他原因暂时不能确定权属的房屋，由征收实施单位提出补偿安置方案，公证机关办理证据保存后实施征收。</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二十、</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在征收过程中如遇有特殊情况，相关权属人提出书面申请，征收实施单位可按实际情况另行处理。</w:t>
      </w:r>
    </w:p>
    <w:p>
      <w:pPr>
        <w:pStyle w:val="6"/>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宋体"/>
          <w:b w:val="0"/>
          <w:i w:val="0"/>
          <w:outline w:val="0"/>
          <w:shadow w:val="0"/>
          <w:emboss w:val="0"/>
          <w:imprint w:val="0"/>
          <w:snapToGrid/>
          <w:vanish w:val="0"/>
          <w:color w:val="000000"/>
          <w:spacing w:val="0"/>
          <w:w w:val="100"/>
          <w:kern w:val="2"/>
          <w:position w:val="0"/>
          <w:sz w:val="32"/>
          <w:szCs w:val="32"/>
          <w:u w:val="none"/>
        </w:rPr>
      </w:pPr>
      <w:r>
        <w:rPr>
          <w:rFonts w:hint="eastAsia" w:ascii="黑体" w:hAnsi="黑体" w:eastAsia="黑体" w:cs="仿宋_GB2312"/>
          <w:b w:val="0"/>
          <w:i w:val="0"/>
          <w:outline w:val="0"/>
          <w:shadow w:val="0"/>
          <w:emboss w:val="0"/>
          <w:imprint w:val="0"/>
          <w:snapToGrid/>
          <w:vanish w:val="0"/>
          <w:color w:val="000000"/>
          <w:spacing w:val="0"/>
          <w:w w:val="100"/>
          <w:kern w:val="2"/>
          <w:position w:val="0"/>
          <w:sz w:val="32"/>
          <w:szCs w:val="32"/>
          <w:u w:val="none"/>
          <w:lang w:val="en-US" w:eastAsia="zh-CN" w:bidi="ar"/>
        </w:rPr>
        <w:t>二十一、</w:t>
      </w:r>
      <w:r>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t>本补偿方案由里水镇人民政府负责解释。</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leftChars="0" w:right="0" w:rightChars="0" w:firstLine="632" w:firstLineChars="200"/>
        <w:jc w:val="both"/>
        <w:textAlignment w:val="auto"/>
        <w:outlineLvl w:val="9"/>
        <w:rPr>
          <w:rFonts w:hint="eastAsia" w:ascii="宋体" w:hAnsi="宋体" w:eastAsia="仿宋_GB2312" w:cs="仿宋_GB2312"/>
          <w:b w:val="0"/>
          <w:i w:val="0"/>
          <w:outline w:val="0"/>
          <w:shadow w:val="0"/>
          <w:emboss w:val="0"/>
          <w:imprint w:val="0"/>
          <w:snapToGrid/>
          <w:vanish w:val="0"/>
          <w:color w:val="000000"/>
          <w:spacing w:val="0"/>
          <w:w w:val="100"/>
          <w:kern w:val="2"/>
          <w:position w:val="0"/>
          <w:sz w:val="32"/>
          <w:szCs w:val="32"/>
          <w:u w:val="none"/>
          <w:lang w:val="en-US" w:eastAsia="zh-CN" w:bidi="ar"/>
        </w:rPr>
      </w:pPr>
    </w:p>
    <w:sectPr>
      <w:footerReference r:id="rId6" w:type="first"/>
      <w:footerReference r:id="rId5" w:type="default"/>
      <w:pgSz w:w="11907" w:h="16840"/>
      <w:pgMar w:top="2098" w:right="1474" w:bottom="1984" w:left="1588" w:header="851" w:footer="1361" w:gutter="0"/>
      <w:pgNumType w:fmt="decimal"/>
      <w:cols w:space="0" w:num="1"/>
      <w:titlePg/>
      <w:rtlGutter w:val="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粗黑宋简体">
    <w:altName w:val="方正书宋_GBK"/>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autoSpaceDE/>
      <w:autoSpaceDN/>
      <w:bidi w:val="0"/>
      <w:adjustRightInd/>
      <w:snapToGrid/>
      <w:spacing w:line="240" w:lineRule="auto"/>
      <w:ind w:left="320" w:leftChars="100" w:right="320" w:rightChars="100"/>
      <w:jc w:val="both"/>
      <w:textAlignment w:val="auto"/>
      <w:rPr>
        <w:rFonts w:hint="eastAsia" w:ascii="宋体" w:hAnsi="宋体" w:eastAsia="宋体" w:cs="宋体"/>
        <w:sz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snapToGrid/>
                            <w:spacing w:line="240" w:lineRule="auto"/>
                            <w:ind w:left="320" w:leftChars="100" w:right="320" w:rightChars="100"/>
                            <w:jc w:val="both"/>
                            <w:textAlignment w:val="auto"/>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2</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ClSD0MgIAAGEEAAAOAAAAZHJz&#10;L2Uyb0RvYy54bWytVM2O0zAQviPxDpbvNGkRq27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KVIPQyAgAAYQQAAA4AAAAAAAAAAQAgAAAA&#10;NQEAAGRycy9lMm9Eb2MueG1sUEsFBgAAAAAGAAYAWQEAANkFAAAAAA==&#10;">
              <v:fill on="f" focussize="0,0"/>
              <v:stroke on="f" weight="0.5pt"/>
              <v:imagedata o:title=""/>
              <o:lock v:ext="edit" aspectratio="f"/>
              <v:textbox inset="0mm,0mm,0mm,0mm" style="mso-fit-shape-to-text:t;">
                <w:txbxContent>
                  <w:p>
                    <w:pPr>
                      <w:pStyle w:val="3"/>
                      <w:keepNext w:val="0"/>
                      <w:keepLines w:val="0"/>
                      <w:pageBreakBefore w:val="0"/>
                      <w:widowControl w:val="0"/>
                      <w:kinsoku/>
                      <w:wordWrap/>
                      <w:overflowPunct/>
                      <w:topLinePunct w:val="0"/>
                      <w:autoSpaceDE/>
                      <w:autoSpaceDN/>
                      <w:bidi w:val="0"/>
                      <w:adjustRightInd/>
                      <w:snapToGrid/>
                      <w:spacing w:line="240" w:lineRule="auto"/>
                      <w:ind w:left="320" w:leftChars="100" w:right="320" w:rightChars="100"/>
                      <w:jc w:val="both"/>
                      <w:textAlignment w:val="auto"/>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2</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20" w:leftChars="100" w:right="320" w:rightChars="100"/>
      <w:jc w:val="both"/>
      <w:rPr>
        <w:rFonts w:hint="eastAsia" w:ascii="宋体" w:hAnsi="宋体" w:eastAsia="宋体" w:cs="宋体"/>
        <w:sz w:val="28"/>
        <w:lang w:eastAsia="zh-CN"/>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320" w:leftChars="100" w:right="320" w:rightChars="100"/>
                            <w:jc w:val="both"/>
                          </w:pPr>
                          <w:r>
                            <w:rPr>
                              <w:rFonts w:hint="eastAsia" w:eastAsia="宋体" w:cs="宋体"/>
                              <w:sz w:val="28"/>
                              <w:lang w:eastAsia="zh-CN"/>
                            </w:rPr>
                            <w:t xml:space="preserve">— </w:t>
                          </w:r>
                          <w:r>
                            <w:rPr>
                              <w:rFonts w:hint="eastAsia" w:eastAsia="宋体" w:cs="宋体"/>
                              <w:sz w:val="28"/>
                              <w:lang w:eastAsia="zh-CN"/>
                            </w:rPr>
                            <w:fldChar w:fldCharType="begin"/>
                          </w:r>
                          <w:r>
                            <w:rPr>
                              <w:rFonts w:hint="eastAsia" w:eastAsia="宋体" w:cs="宋体"/>
                              <w:sz w:val="28"/>
                              <w:lang w:eastAsia="zh-CN"/>
                            </w:rPr>
                            <w:instrText xml:space="preserve"> PAGE  \* MERGEFORMAT </w:instrText>
                          </w:r>
                          <w:r>
                            <w:rPr>
                              <w:rFonts w:hint="eastAsia" w:eastAsia="宋体" w:cs="宋体"/>
                              <w:sz w:val="28"/>
                              <w:lang w:eastAsia="zh-CN"/>
                            </w:rPr>
                            <w:fldChar w:fldCharType="separate"/>
                          </w:r>
                          <w:r>
                            <w:rPr>
                              <w:rFonts w:hint="eastAsia" w:eastAsia="宋体" w:cs="宋体"/>
                              <w:sz w:val="28"/>
                              <w:lang w:eastAsia="zh-CN"/>
                            </w:rPr>
                            <w:t>1</w:t>
                          </w:r>
                          <w:r>
                            <w:rPr>
                              <w:rFonts w:hint="eastAsia" w:eastAsia="宋体" w:cs="宋体"/>
                              <w:sz w:val="28"/>
                              <w:lang w:eastAsia="zh-CN"/>
                            </w:rPr>
                            <w:fldChar w:fldCharType="end"/>
                          </w:r>
                          <w:r>
                            <w:rPr>
                              <w:rFonts w:hint="eastAsia"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C5WZn4yAgAAYwQAAA4AAAAAAAAAAQAgAAAA&#10;NQEAAGRycy9lMm9Eb2MueG1sUEsFBgAAAAAGAAYAWQEAANkFAAAAAA==&#10;">
              <v:fill on="f" focussize="0,0"/>
              <v:stroke on="f" weight="0.5pt"/>
              <v:imagedata o:title=""/>
              <o:lock v:ext="edit" aspectratio="f"/>
              <v:textbox inset="0mm,0mm,0mm,0mm" style="mso-fit-shape-to-text:t;">
                <w:txbxContent>
                  <w:p>
                    <w:pPr>
                      <w:pStyle w:val="4"/>
                      <w:ind w:left="320" w:leftChars="100" w:right="320" w:rightChars="100"/>
                      <w:jc w:val="both"/>
                    </w:pPr>
                    <w:r>
                      <w:rPr>
                        <w:rFonts w:hint="eastAsia" w:eastAsia="宋体" w:cs="宋体"/>
                        <w:sz w:val="28"/>
                        <w:lang w:eastAsia="zh-CN"/>
                      </w:rPr>
                      <w:t xml:space="preserve">— </w:t>
                    </w:r>
                    <w:r>
                      <w:rPr>
                        <w:rFonts w:hint="eastAsia" w:eastAsia="宋体" w:cs="宋体"/>
                        <w:sz w:val="28"/>
                        <w:lang w:eastAsia="zh-CN"/>
                      </w:rPr>
                      <w:fldChar w:fldCharType="begin"/>
                    </w:r>
                    <w:r>
                      <w:rPr>
                        <w:rFonts w:hint="eastAsia" w:eastAsia="宋体" w:cs="宋体"/>
                        <w:sz w:val="28"/>
                        <w:lang w:eastAsia="zh-CN"/>
                      </w:rPr>
                      <w:instrText xml:space="preserve"> PAGE  \* MERGEFORMAT </w:instrText>
                    </w:r>
                    <w:r>
                      <w:rPr>
                        <w:rFonts w:hint="eastAsia" w:eastAsia="宋体" w:cs="宋体"/>
                        <w:sz w:val="28"/>
                        <w:lang w:eastAsia="zh-CN"/>
                      </w:rPr>
                      <w:fldChar w:fldCharType="separate"/>
                    </w:r>
                    <w:r>
                      <w:rPr>
                        <w:rFonts w:hint="eastAsia" w:eastAsia="宋体" w:cs="宋体"/>
                        <w:sz w:val="28"/>
                        <w:lang w:eastAsia="zh-CN"/>
                      </w:rPr>
                      <w:t>1</w:t>
                    </w:r>
                    <w:r>
                      <w:rPr>
                        <w:rFonts w:hint="eastAsia" w:eastAsia="宋体" w:cs="宋体"/>
                        <w:sz w:val="28"/>
                        <w:lang w:eastAsia="zh-CN"/>
                      </w:rPr>
                      <w:fldChar w:fldCharType="end"/>
                    </w:r>
                    <w:r>
                      <w:rPr>
                        <w:rFonts w:hint="eastAsia" w:eastAsia="宋体" w:cs="宋体"/>
                        <w:sz w:val="28"/>
                        <w:lang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keepNext w:val="0"/>
      <w:keepLines w:val="0"/>
      <w:pageBreakBefore w:val="0"/>
      <w:widowControl w:val="0"/>
      <w:kinsoku/>
      <w:wordWrap/>
      <w:overflowPunct/>
      <w:topLinePunct w:val="0"/>
      <w:autoSpaceDE/>
      <w:autoSpaceDN/>
      <w:bidi w:val="0"/>
      <w:adjustRightInd/>
      <w:snapToGrid/>
      <w:spacing w:line="240" w:lineRule="auto"/>
      <w:ind w:left="320" w:leftChars="100" w:right="320" w:rightChars="100"/>
      <w:jc w:val="both"/>
      <w:textAlignment w:val="auto"/>
      <w:rPr>
        <w:rFonts w:hint="eastAsia" w:ascii="宋体" w:hAnsi="宋体" w:eastAsia="宋体" w:cs="宋体"/>
        <w:sz w:val="28"/>
        <w:lang w:eastAsia="zh-CN"/>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snapToGrid/>
                            <w:spacing w:line="240" w:lineRule="auto"/>
                            <w:ind w:left="320" w:leftChars="100" w:right="320" w:rightChars="100"/>
                            <w:jc w:val="both"/>
                            <w:textAlignment w:val="auto"/>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8</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vGRMQIAAGM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&#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bP7xkTECAABjBAAADgAAAAAAAAABACAAAAA1&#10;AQAAZHJzL2Uyb0RvYy54bWxQSwUGAAAAAAYABgBZAQAA2AUAAAAA&#10;">
              <v:fill on="f" focussize="0,0"/>
              <v:stroke on="f" weight="0.5pt"/>
              <v:imagedata o:title=""/>
              <o:lock v:ext="edit" aspectratio="f"/>
              <v:textbox inset="0mm,0mm,0mm,0mm" style="mso-fit-shape-to-text:t;">
                <w:txbxContent>
                  <w:p>
                    <w:pPr>
                      <w:pStyle w:val="3"/>
                      <w:keepNext w:val="0"/>
                      <w:keepLines w:val="0"/>
                      <w:pageBreakBefore w:val="0"/>
                      <w:widowControl w:val="0"/>
                      <w:kinsoku/>
                      <w:wordWrap/>
                      <w:overflowPunct/>
                      <w:topLinePunct w:val="0"/>
                      <w:autoSpaceDE/>
                      <w:autoSpaceDN/>
                      <w:bidi w:val="0"/>
                      <w:adjustRightInd/>
                      <w:snapToGrid/>
                      <w:spacing w:line="240" w:lineRule="auto"/>
                      <w:ind w:left="320" w:leftChars="100" w:right="320" w:rightChars="100"/>
                      <w:jc w:val="both"/>
                      <w:textAlignment w:val="auto"/>
                    </w:pPr>
                    <w:r>
                      <w:rPr>
                        <w:rFonts w:hint="eastAsia" w:ascii="宋体" w:hAnsi="宋体" w:eastAsia="宋体" w:cs="宋体"/>
                        <w:sz w:val="28"/>
                        <w:lang w:eastAsia="zh-CN"/>
                      </w:rPr>
                      <w:t xml:space="preserve">— </w:t>
                    </w:r>
                    <w:r>
                      <w:rPr>
                        <w:rFonts w:hint="eastAsia" w:ascii="宋体" w:hAnsi="宋体" w:eastAsia="宋体" w:cs="宋体"/>
                        <w:sz w:val="28"/>
                        <w:lang w:eastAsia="zh-CN"/>
                      </w:rPr>
                      <w:fldChar w:fldCharType="begin"/>
                    </w:r>
                    <w:r>
                      <w:rPr>
                        <w:rFonts w:hint="eastAsia" w:ascii="宋体" w:hAnsi="宋体" w:eastAsia="宋体" w:cs="宋体"/>
                        <w:sz w:val="28"/>
                        <w:lang w:eastAsia="zh-CN"/>
                      </w:rPr>
                      <w:instrText xml:space="preserve"> PAGE  \* MERGEFORMAT </w:instrText>
                    </w:r>
                    <w:r>
                      <w:rPr>
                        <w:rFonts w:hint="eastAsia" w:ascii="宋体" w:hAnsi="宋体" w:eastAsia="宋体" w:cs="宋体"/>
                        <w:sz w:val="28"/>
                        <w:lang w:eastAsia="zh-CN"/>
                      </w:rPr>
                      <w:fldChar w:fldCharType="separate"/>
                    </w:r>
                    <w:r>
                      <w:rPr>
                        <w:rFonts w:hint="eastAsia" w:ascii="宋体" w:hAnsi="宋体" w:eastAsia="宋体" w:cs="宋体"/>
                        <w:sz w:val="28"/>
                        <w:lang w:eastAsia="zh-CN"/>
                      </w:rPr>
                      <w:t>8</w:t>
                    </w:r>
                    <w:r>
                      <w:rPr>
                        <w:rFonts w:hint="eastAsia" w:ascii="宋体" w:hAnsi="宋体" w:eastAsia="宋体" w:cs="宋体"/>
                        <w:sz w:val="28"/>
                        <w:lang w:eastAsia="zh-CN"/>
                      </w:rPr>
                      <w:fldChar w:fldCharType="end"/>
                    </w:r>
                    <w:r>
                      <w:rPr>
                        <w:rFonts w:hint="eastAsia" w:ascii="宋体" w:hAnsi="宋体" w:eastAsia="宋体" w:cs="宋体"/>
                        <w:sz w:val="28"/>
                        <w:lang w:eastAsia="zh-CN"/>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20" w:leftChars="100" w:right="320" w:rightChars="100"/>
      <w:jc w:val="both"/>
      <w:rPr>
        <w:rFonts w:hint="eastAsia" w:ascii="宋体" w:hAnsi="宋体" w:eastAsia="宋体" w:cs="宋体"/>
        <w:sz w:val="28"/>
        <w:lang w:eastAsia="zh-CN"/>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ind w:left="320" w:leftChars="100" w:right="320" w:rightChars="100"/>
                            <w:jc w:val="both"/>
                          </w:pPr>
                          <w:r>
                            <w:rPr>
                              <w:rFonts w:hint="eastAsia" w:eastAsia="宋体" w:cs="宋体"/>
                              <w:sz w:val="28"/>
                              <w:lang w:eastAsia="zh-CN"/>
                            </w:rPr>
                            <w:t xml:space="preserve">— </w:t>
                          </w:r>
                          <w:r>
                            <w:rPr>
                              <w:rFonts w:hint="eastAsia" w:eastAsia="宋体" w:cs="宋体"/>
                              <w:sz w:val="28"/>
                              <w:lang w:eastAsia="zh-CN"/>
                            </w:rPr>
                            <w:fldChar w:fldCharType="begin"/>
                          </w:r>
                          <w:r>
                            <w:rPr>
                              <w:rFonts w:hint="eastAsia" w:eastAsia="宋体" w:cs="宋体"/>
                              <w:sz w:val="28"/>
                              <w:lang w:eastAsia="zh-CN"/>
                            </w:rPr>
                            <w:instrText xml:space="preserve"> PAGE  \* MERGEFORMAT </w:instrText>
                          </w:r>
                          <w:r>
                            <w:rPr>
                              <w:rFonts w:hint="eastAsia" w:eastAsia="宋体" w:cs="宋体"/>
                              <w:sz w:val="28"/>
                              <w:lang w:eastAsia="zh-CN"/>
                            </w:rPr>
                            <w:fldChar w:fldCharType="separate"/>
                          </w:r>
                          <w:r>
                            <w:rPr>
                              <w:rFonts w:hint="eastAsia" w:eastAsia="宋体" w:cs="宋体"/>
                              <w:sz w:val="28"/>
                              <w:lang w:eastAsia="zh-CN"/>
                            </w:rPr>
                            <w:t>18</w:t>
                          </w:r>
                          <w:r>
                            <w:rPr>
                              <w:rFonts w:hint="eastAsia" w:eastAsia="宋体" w:cs="宋体"/>
                              <w:sz w:val="28"/>
                              <w:lang w:eastAsia="zh-CN"/>
                            </w:rPr>
                            <w:fldChar w:fldCharType="end"/>
                          </w:r>
                          <w:r>
                            <w:rPr>
                              <w:rFonts w:hint="eastAsia" w:eastAsia="宋体" w:cs="宋体"/>
                              <w:sz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6wA4ejECAABjBAAADgAAAAAAAAABACAAAAA1&#10;AQAAZHJzL2Uyb0RvYy54bWxQSwUGAAAAAAYABgBZAQAA2AUAAAAA&#10;">
              <v:fill on="f" focussize="0,0"/>
              <v:stroke on="f" weight="0.5pt"/>
              <v:imagedata o:title=""/>
              <o:lock v:ext="edit" aspectratio="f"/>
              <v:textbox inset="0mm,0mm,0mm,0mm" style="mso-fit-shape-to-text:t;">
                <w:txbxContent>
                  <w:p>
                    <w:pPr>
                      <w:pStyle w:val="4"/>
                      <w:ind w:left="320" w:leftChars="100" w:right="320" w:rightChars="100"/>
                      <w:jc w:val="both"/>
                    </w:pPr>
                    <w:r>
                      <w:rPr>
                        <w:rFonts w:hint="eastAsia" w:eastAsia="宋体" w:cs="宋体"/>
                        <w:sz w:val="28"/>
                        <w:lang w:eastAsia="zh-CN"/>
                      </w:rPr>
                      <w:t xml:space="preserve">— </w:t>
                    </w:r>
                    <w:r>
                      <w:rPr>
                        <w:rFonts w:hint="eastAsia" w:eastAsia="宋体" w:cs="宋体"/>
                        <w:sz w:val="28"/>
                        <w:lang w:eastAsia="zh-CN"/>
                      </w:rPr>
                      <w:fldChar w:fldCharType="begin"/>
                    </w:r>
                    <w:r>
                      <w:rPr>
                        <w:rFonts w:hint="eastAsia" w:eastAsia="宋体" w:cs="宋体"/>
                        <w:sz w:val="28"/>
                        <w:lang w:eastAsia="zh-CN"/>
                      </w:rPr>
                      <w:instrText xml:space="preserve"> PAGE  \* MERGEFORMAT </w:instrText>
                    </w:r>
                    <w:r>
                      <w:rPr>
                        <w:rFonts w:hint="eastAsia" w:eastAsia="宋体" w:cs="宋体"/>
                        <w:sz w:val="28"/>
                        <w:lang w:eastAsia="zh-CN"/>
                      </w:rPr>
                      <w:fldChar w:fldCharType="separate"/>
                    </w:r>
                    <w:r>
                      <w:rPr>
                        <w:rFonts w:hint="eastAsia" w:eastAsia="宋体" w:cs="宋体"/>
                        <w:sz w:val="28"/>
                        <w:lang w:eastAsia="zh-CN"/>
                      </w:rPr>
                      <w:t>18</w:t>
                    </w:r>
                    <w:r>
                      <w:rPr>
                        <w:rFonts w:hint="eastAsia" w:eastAsia="宋体" w:cs="宋体"/>
                        <w:sz w:val="28"/>
                        <w:lang w:eastAsia="zh-CN"/>
                      </w:rPr>
                      <w:fldChar w:fldCharType="end"/>
                    </w:r>
                    <w:r>
                      <w:rPr>
                        <w:rFonts w:hint="eastAsia" w:eastAsia="宋体" w:cs="宋体"/>
                        <w:sz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C6584"/>
    <w:multiLevelType w:val="singleLevel"/>
    <w:tmpl w:val="A1DC658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58"/>
  <w:drawingGridVerticalSpacing w:val="295"/>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2OWI2N2M0ZTY1YjExNDgzMjc5MDQwZDE4NDFkYTUifQ=="/>
  </w:docVars>
  <w:rsids>
    <w:rsidRoot w:val="00172A27"/>
    <w:rsid w:val="096E0C32"/>
    <w:rsid w:val="09CB35E1"/>
    <w:rsid w:val="11E278E9"/>
    <w:rsid w:val="12791770"/>
    <w:rsid w:val="12ED3862"/>
    <w:rsid w:val="12FA21AD"/>
    <w:rsid w:val="1A7647E7"/>
    <w:rsid w:val="1B5766DB"/>
    <w:rsid w:val="250826D0"/>
    <w:rsid w:val="278A2F22"/>
    <w:rsid w:val="28107CD5"/>
    <w:rsid w:val="2DBD2EC5"/>
    <w:rsid w:val="30FE0C36"/>
    <w:rsid w:val="319726A4"/>
    <w:rsid w:val="3B1B2786"/>
    <w:rsid w:val="3D9F3D9E"/>
    <w:rsid w:val="3F302C3B"/>
    <w:rsid w:val="50830AE8"/>
    <w:rsid w:val="50E75244"/>
    <w:rsid w:val="54A51975"/>
    <w:rsid w:val="557C2C12"/>
    <w:rsid w:val="58A85581"/>
    <w:rsid w:val="61E80CEF"/>
    <w:rsid w:val="63E043E4"/>
    <w:rsid w:val="64297C47"/>
    <w:rsid w:val="73B47087"/>
    <w:rsid w:val="74A00F4C"/>
    <w:rsid w:val="76395420"/>
    <w:rsid w:val="77A5667A"/>
    <w:rsid w:val="CFF7D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仿宋_GB2312" w:cs="Times New Roman"/>
      <w:kern w:val="2"/>
      <w:sz w:val="32"/>
      <w:szCs w:val="22"/>
      <w:lang w:val="en-US" w:eastAsia="zh-CN" w:bidi="ar-SA"/>
    </w:rPr>
  </w:style>
  <w:style w:type="paragraph" w:styleId="2">
    <w:name w:val="heading 3"/>
    <w:basedOn w:val="1"/>
    <w:next w:val="1"/>
    <w:unhideWhenUsed/>
    <w:qFormat/>
    <w:uiPriority w:val="0"/>
    <w:pPr>
      <w:spacing w:before="104" w:beforeLines="0" w:after="104" w:afterLines="0"/>
      <w:outlineLvl w:val="2"/>
    </w:p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rPr>
      <w:rFonts w:ascii="宋体" w:hAnsi="宋体" w:eastAsia="宋体" w:cs="宋体"/>
      <w:sz w:val="32"/>
      <w:szCs w:val="32"/>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6068</Words>
  <Characters>6296</Characters>
  <Lines>0</Lines>
  <Paragraphs>0</Paragraphs>
  <TotalTime>5</TotalTime>
  <ScaleCrop>false</ScaleCrop>
  <LinksUpToDate>false</LinksUpToDate>
  <CharactersWithSpaces>6367</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2023-03-30T10:41:00Z</dcterms:created>
  <dc:creator>Fang.a</dc:creator>
  <cp:lastModifiedBy>崔嘉仪</cp:lastModifiedBy>
  <dcterms:modified xsi:type="dcterms:W3CDTF">2023-04-25T18:00:22Z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750A5F46533F4385BE2D5157199ABC1E</vt:lpwstr>
  </property>
</Properties>
</file>