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XSpec="center" w:tblpYSpec="top"/>
        <w:tblW w:w="0" w:type="auto"/>
        <w:jc w:val="center"/>
        <w:tblLayout w:type="fixed"/>
        <w:tblCellMar>
          <w:top w:w="0" w:type="dxa"/>
          <w:left w:w="0" w:type="dxa"/>
          <w:bottom w:w="0" w:type="dxa"/>
          <w:right w:w="0" w:type="dxa"/>
        </w:tblCellMar>
      </w:tblPr>
      <w:tblGrid>
        <w:gridCol w:w="5574"/>
        <w:gridCol w:w="3257"/>
      </w:tblGrid>
      <w:tr>
        <w:tblPrEx>
          <w:tblCellMar>
            <w:top w:w="0" w:type="dxa"/>
            <w:left w:w="0" w:type="dxa"/>
            <w:bottom w:w="0" w:type="dxa"/>
            <w:right w:w="0" w:type="dxa"/>
          </w:tblCellMar>
        </w:tblPrEx>
        <w:trPr>
          <w:trHeight w:val="1066" w:hRule="exact"/>
          <w:jc w:val="center"/>
        </w:trPr>
        <w:tc>
          <w:tcPr>
            <w:tcW w:w="8831" w:type="dxa"/>
            <w:gridSpan w:val="2"/>
            <w:noWrap w:val="0"/>
            <w:vAlign w:val="center"/>
          </w:tcPr>
          <w:p>
            <w:pPr>
              <w:snapToGrid w:val="0"/>
              <w:jc w:val="center"/>
              <w:rPr>
                <w:rFonts w:eastAsia="方正小标宋简体"/>
                <w:color w:val="FF0000"/>
                <w:spacing w:val="200"/>
                <w:kern w:val="0"/>
                <w:sz w:val="84"/>
                <w:szCs w:val="84"/>
              </w:rPr>
            </w:pPr>
            <w:r>
              <w:rPr>
                <w:rFonts w:eastAsia="方正小标宋简体"/>
                <w:color w:val="FF0000"/>
                <w:sz w:val="84"/>
                <w:szCs w:val="84"/>
              </w:rPr>
              <w:t>粮 食 信 息 简 报</w:t>
            </w:r>
          </w:p>
        </w:tc>
      </w:tr>
      <w:tr>
        <w:tblPrEx>
          <w:tblCellMar>
            <w:top w:w="0" w:type="dxa"/>
            <w:left w:w="0" w:type="dxa"/>
            <w:bottom w:w="0" w:type="dxa"/>
            <w:right w:w="0" w:type="dxa"/>
          </w:tblCellMar>
        </w:tblPrEx>
        <w:trPr>
          <w:trHeight w:val="522" w:hRule="atLeast"/>
          <w:jc w:val="center"/>
        </w:trPr>
        <w:tc>
          <w:tcPr>
            <w:tcW w:w="8831" w:type="dxa"/>
            <w:gridSpan w:val="2"/>
            <w:noWrap w:val="0"/>
            <w:vAlign w:val="center"/>
          </w:tcPr>
          <w:p>
            <w:pPr>
              <w:jc w:val="center"/>
              <w:rPr>
                <w:rFonts w:eastAsia="楷体_GB2312"/>
                <w:kern w:val="0"/>
                <w:sz w:val="32"/>
                <w:szCs w:val="32"/>
              </w:rPr>
            </w:pPr>
          </w:p>
          <w:p>
            <w:pPr>
              <w:jc w:val="center"/>
              <w:rPr>
                <w:rFonts w:eastAsia="楷体_GB2312"/>
                <w:kern w:val="0"/>
                <w:sz w:val="32"/>
                <w:szCs w:val="32"/>
              </w:rPr>
            </w:pPr>
          </w:p>
          <w:p>
            <w:pPr>
              <w:jc w:val="center"/>
              <w:rPr>
                <w:rFonts w:eastAsia="楷体_GB2312"/>
                <w:kern w:val="0"/>
                <w:sz w:val="32"/>
                <w:szCs w:val="32"/>
              </w:rPr>
            </w:pPr>
            <w:r>
              <w:rPr>
                <w:rFonts w:eastAsia="楷体_GB2312"/>
                <w:kern w:val="0"/>
                <w:sz w:val="32"/>
                <w:szCs w:val="32"/>
              </w:rPr>
              <w:t>20</w:t>
            </w:r>
            <w:r>
              <w:rPr>
                <w:rFonts w:hint="eastAsia" w:eastAsia="楷体_GB2312"/>
                <w:kern w:val="0"/>
                <w:sz w:val="32"/>
                <w:szCs w:val="32"/>
              </w:rPr>
              <w:t>2</w:t>
            </w:r>
            <w:r>
              <w:rPr>
                <w:rFonts w:hint="eastAsia" w:eastAsia="楷体_GB2312"/>
                <w:kern w:val="0"/>
                <w:sz w:val="32"/>
                <w:szCs w:val="32"/>
                <w:lang w:val="en-US" w:eastAsia="zh-CN"/>
              </w:rPr>
              <w:t>3</w:t>
            </w:r>
            <w:r>
              <w:rPr>
                <w:rFonts w:eastAsia="楷体_GB2312"/>
                <w:kern w:val="0"/>
                <w:sz w:val="32"/>
                <w:szCs w:val="32"/>
              </w:rPr>
              <w:t>年第</w:t>
            </w:r>
            <w:r>
              <w:rPr>
                <w:rFonts w:hint="eastAsia" w:eastAsia="楷体_GB2312"/>
                <w:kern w:val="0"/>
                <w:sz w:val="32"/>
                <w:szCs w:val="32"/>
                <w:lang w:val="en-US" w:eastAsia="zh-CN"/>
              </w:rPr>
              <w:t>6</w:t>
            </w:r>
            <w:r>
              <w:rPr>
                <w:rFonts w:eastAsia="楷体_GB2312"/>
                <w:kern w:val="0"/>
                <w:sz w:val="32"/>
                <w:szCs w:val="32"/>
              </w:rPr>
              <w:t>期（总第</w:t>
            </w:r>
            <w:r>
              <w:rPr>
                <w:rFonts w:hint="eastAsia" w:eastAsia="楷体_GB2312"/>
                <w:kern w:val="0"/>
                <w:sz w:val="32"/>
                <w:szCs w:val="32"/>
                <w:lang w:val="en-US" w:eastAsia="zh-CN"/>
              </w:rPr>
              <w:t>16</w:t>
            </w:r>
            <w:r>
              <w:rPr>
                <w:rFonts w:eastAsia="楷体_GB2312"/>
                <w:kern w:val="0"/>
                <w:sz w:val="32"/>
                <w:szCs w:val="32"/>
              </w:rPr>
              <w:t>期）</w:t>
            </w:r>
          </w:p>
        </w:tc>
      </w:tr>
      <w:tr>
        <w:tblPrEx>
          <w:tblCellMar>
            <w:top w:w="0" w:type="dxa"/>
            <w:left w:w="0" w:type="dxa"/>
            <w:bottom w:w="0" w:type="dxa"/>
            <w:right w:w="0" w:type="dxa"/>
          </w:tblCellMar>
        </w:tblPrEx>
        <w:trPr>
          <w:trHeight w:val="237" w:hRule="atLeast"/>
          <w:jc w:val="center"/>
        </w:trPr>
        <w:tc>
          <w:tcPr>
            <w:tcW w:w="8831" w:type="dxa"/>
            <w:gridSpan w:val="2"/>
            <w:noWrap w:val="0"/>
            <w:vAlign w:val="center"/>
          </w:tcPr>
          <w:p>
            <w:pPr>
              <w:jc w:val="center"/>
              <w:rPr>
                <w:rFonts w:eastAsia="楷体_GB2312"/>
                <w:kern w:val="0"/>
                <w:sz w:val="32"/>
                <w:szCs w:val="32"/>
              </w:rPr>
            </w:pPr>
          </w:p>
          <w:p>
            <w:pPr>
              <w:jc w:val="center"/>
              <w:rPr>
                <w:rFonts w:eastAsia="楷体_GB2312"/>
                <w:kern w:val="0"/>
                <w:sz w:val="32"/>
                <w:szCs w:val="32"/>
              </w:rPr>
            </w:pPr>
          </w:p>
        </w:tc>
      </w:tr>
      <w:tr>
        <w:tblPrEx>
          <w:tblCellMar>
            <w:top w:w="0" w:type="dxa"/>
            <w:left w:w="0" w:type="dxa"/>
            <w:bottom w:w="0" w:type="dxa"/>
            <w:right w:w="0" w:type="dxa"/>
          </w:tblCellMar>
        </w:tblPrEx>
        <w:trPr>
          <w:trHeight w:val="258" w:hRule="atLeast"/>
          <w:jc w:val="center"/>
        </w:trPr>
        <w:tc>
          <w:tcPr>
            <w:tcW w:w="5574" w:type="dxa"/>
            <w:tcBorders>
              <w:bottom w:val="single" w:color="FF0000" w:sz="12" w:space="0"/>
            </w:tcBorders>
            <w:noWrap w:val="0"/>
            <w:vAlign w:val="center"/>
          </w:tcPr>
          <w:p>
            <w:pPr>
              <w:ind w:firstLine="320"/>
              <w:jc w:val="left"/>
              <w:rPr>
                <w:rFonts w:eastAsia="楷体_GB2312"/>
                <w:kern w:val="0"/>
                <w:sz w:val="32"/>
                <w:szCs w:val="32"/>
              </w:rPr>
            </w:pPr>
            <w:r>
              <w:rPr>
                <w:rFonts w:hint="eastAsia" w:eastAsia="楷体_GB2312"/>
                <w:kern w:val="0"/>
                <w:sz w:val="32"/>
                <w:szCs w:val="32"/>
                <w:lang w:eastAsia="zh-CN"/>
              </w:rPr>
              <w:t>南海</w:t>
            </w:r>
            <w:r>
              <w:rPr>
                <w:rFonts w:hint="eastAsia" w:eastAsia="楷体_GB2312"/>
                <w:kern w:val="0"/>
                <w:sz w:val="32"/>
                <w:szCs w:val="32"/>
              </w:rPr>
              <w:t>区粮食和物资储备局</w:t>
            </w:r>
            <w:r>
              <w:rPr>
                <w:rFonts w:eastAsia="楷体_GB2312"/>
                <w:kern w:val="0"/>
                <w:sz w:val="32"/>
                <w:szCs w:val="32"/>
              </w:rPr>
              <w:t>编</w:t>
            </w:r>
          </w:p>
        </w:tc>
        <w:tc>
          <w:tcPr>
            <w:tcW w:w="3257" w:type="dxa"/>
            <w:tcBorders>
              <w:bottom w:val="single" w:color="FF0000" w:sz="12" w:space="0"/>
            </w:tcBorders>
            <w:noWrap w:val="0"/>
            <w:vAlign w:val="center"/>
          </w:tcPr>
          <w:p>
            <w:pPr>
              <w:ind w:right="225" w:rightChars="107"/>
              <w:jc w:val="right"/>
              <w:rPr>
                <w:rFonts w:eastAsia="楷体_GB2312"/>
                <w:kern w:val="0"/>
                <w:sz w:val="32"/>
                <w:szCs w:val="32"/>
              </w:rPr>
            </w:pPr>
            <w:r>
              <w:rPr>
                <w:rFonts w:eastAsia="楷体_GB2312"/>
                <w:kern w:val="0"/>
                <w:sz w:val="32"/>
                <w:szCs w:val="32"/>
              </w:rPr>
              <w:t>20</w:t>
            </w:r>
            <w:r>
              <w:rPr>
                <w:rFonts w:hint="eastAsia" w:eastAsia="楷体_GB2312"/>
                <w:kern w:val="0"/>
                <w:sz w:val="32"/>
                <w:szCs w:val="32"/>
              </w:rPr>
              <w:t>2</w:t>
            </w:r>
            <w:r>
              <w:rPr>
                <w:rFonts w:hint="eastAsia" w:eastAsia="楷体_GB2312"/>
                <w:kern w:val="0"/>
                <w:sz w:val="32"/>
                <w:szCs w:val="32"/>
                <w:lang w:val="en-US" w:eastAsia="zh-CN"/>
              </w:rPr>
              <w:t>3</w:t>
            </w:r>
            <w:r>
              <w:rPr>
                <w:rFonts w:eastAsia="楷体_GB2312"/>
                <w:kern w:val="0"/>
                <w:sz w:val="32"/>
                <w:szCs w:val="32"/>
              </w:rPr>
              <w:t>年</w:t>
            </w:r>
            <w:r>
              <w:rPr>
                <w:rFonts w:hint="eastAsia" w:eastAsia="楷体_GB2312"/>
                <w:kern w:val="0"/>
                <w:sz w:val="32"/>
                <w:szCs w:val="32"/>
                <w:lang w:val="en-US" w:eastAsia="zh-CN"/>
              </w:rPr>
              <w:t>4</w:t>
            </w:r>
            <w:r>
              <w:rPr>
                <w:rFonts w:eastAsia="楷体_GB2312"/>
                <w:kern w:val="0"/>
                <w:sz w:val="32"/>
                <w:szCs w:val="32"/>
              </w:rPr>
              <w:t>月</w:t>
            </w:r>
            <w:r>
              <w:rPr>
                <w:rFonts w:hint="eastAsia" w:eastAsia="楷体_GB2312"/>
                <w:kern w:val="0"/>
                <w:sz w:val="32"/>
                <w:szCs w:val="32"/>
                <w:lang w:val="en-US" w:eastAsia="zh-CN"/>
              </w:rPr>
              <w:t>28</w:t>
            </w:r>
            <w:r>
              <w:rPr>
                <w:rFonts w:eastAsia="楷体_GB2312"/>
                <w:kern w:val="0"/>
                <w:sz w:val="32"/>
                <w:szCs w:val="32"/>
              </w:rPr>
              <w:t>日</w:t>
            </w:r>
          </w:p>
        </w:tc>
      </w:tr>
      <w:tr>
        <w:tblPrEx>
          <w:tblCellMar>
            <w:top w:w="0" w:type="dxa"/>
            <w:left w:w="0" w:type="dxa"/>
            <w:bottom w:w="0" w:type="dxa"/>
            <w:right w:w="0" w:type="dxa"/>
          </w:tblCellMar>
        </w:tblPrEx>
        <w:trPr>
          <w:trHeight w:val="346" w:hRule="atLeast"/>
          <w:jc w:val="center"/>
        </w:trPr>
        <w:tc>
          <w:tcPr>
            <w:tcW w:w="8831" w:type="dxa"/>
            <w:gridSpan w:val="2"/>
            <w:tcBorders>
              <w:top w:val="single" w:color="FF0000" w:sz="12" w:space="0"/>
            </w:tcBorders>
            <w:noWrap w:val="0"/>
            <w:vAlign w:val="center"/>
          </w:tcPr>
          <w:p>
            <w:pPr>
              <w:spacing w:line="133" w:lineRule="atLeast"/>
              <w:jc w:val="center"/>
              <w:rPr>
                <w:color w:val="FF0000"/>
                <w:kern w:val="0"/>
                <w:sz w:val="32"/>
                <w:szCs w:val="32"/>
              </w:rPr>
            </w:pPr>
          </w:p>
        </w:tc>
      </w:tr>
    </w:tbl>
    <w:p>
      <w:pPr>
        <w:widowControl w:val="0"/>
        <w:rPr>
          <w:rFonts w:eastAsia="黑体"/>
          <w:szCs w:val="21"/>
        </w:rPr>
      </w:pPr>
    </w:p>
    <w:p>
      <w:pPr>
        <w:widowControl w:val="0"/>
        <w:rPr>
          <w:rFonts w:hint="eastAsia" w:eastAsia="黑体"/>
          <w:szCs w:val="21"/>
        </w:rPr>
      </w:pPr>
    </w:p>
    <w:p>
      <w:pPr>
        <w:spacing w:line="560" w:lineRule="exact"/>
        <w:ind w:firstLine="960" w:firstLineChars="200"/>
        <w:jc w:val="center"/>
        <w:textAlignment w:val="center"/>
        <w:rPr>
          <w:rFonts w:hint="eastAsia" w:ascii="仿宋" w:hAnsi="仿宋" w:eastAsia="仿宋" w:cs="仿宋"/>
          <w:sz w:val="32"/>
          <w:szCs w:val="32"/>
          <w:lang w:val="en-US" w:eastAsia="zh-CN"/>
        </w:rPr>
      </w:pPr>
      <w:r>
        <w:rPr>
          <w:rFonts w:hint="eastAsia" w:ascii="方正小标宋简体" w:hAnsi="方正小标宋简体" w:eastAsia="方正小标宋简体" w:cs="仿宋_GB2312"/>
          <w:sz w:val="48"/>
          <w:szCs w:val="48"/>
          <w:lang w:val="en-US" w:eastAsia="zh-CN"/>
        </w:rPr>
        <w:t>对桂城街道粮食应急网点进行节前安全生产检查</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center"/>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4月28日，佛山市南海区粮食和物资储备股组织对位于桂城街道的两家粮食应急网点：南海增健粮油有限公司、佛山市悦家商业有限公司桂城大德路分公司进行了五一、端午双节的节前安全生产检查。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对企业的粮油物资、消防设施、生产安全等方面进行了详细检查。检查对象粮油物资储备充足、摆放有序，消防设施维护到位、消防通道畅通。同时督促企业做好迎接节假日客流增大、货物需求增多的相关准备。</w:t>
      </w:r>
      <w:bookmarkStart w:id="0" w:name="_GoBack"/>
      <w:bookmarkEnd w:id="0"/>
    </w:p>
    <w:p>
      <w:pPr>
        <w:bidi w:val="0"/>
        <w:ind w:firstLine="640" w:firstLineChars="200"/>
        <w:rPr>
          <w:rFonts w:hint="eastAsia" w:ascii="仿宋" w:hAnsi="仿宋" w:eastAsia="仿宋" w:cs="仿宋"/>
          <w:sz w:val="32"/>
          <w:szCs w:val="32"/>
          <w:lang w:val="en-US" w:eastAsia="zh-CN"/>
        </w:rPr>
      </w:pPr>
    </w:p>
    <w:p>
      <w:pPr>
        <w:bidi w:val="0"/>
        <w:ind w:firstLine="640" w:firstLineChars="200"/>
        <w:rPr>
          <w:rFonts w:hint="default" w:ascii="仿宋" w:hAnsi="仿宋" w:eastAsia="仿宋" w:cs="仿宋"/>
          <w:sz w:val="32"/>
          <w:szCs w:val="32"/>
          <w:lang w:val="en-US" w:eastAsia="zh-CN"/>
        </w:rPr>
      </w:pP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144780</wp:posOffset>
            </wp:positionH>
            <wp:positionV relativeFrom="paragraph">
              <wp:posOffset>-437515</wp:posOffset>
            </wp:positionV>
            <wp:extent cx="4876800" cy="2735580"/>
            <wp:effectExtent l="0" t="0" r="0" b="7620"/>
            <wp:wrapNone/>
            <wp:docPr id="1" name="图片 1" descr="DSC0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06514"/>
                    <pic:cNvPicPr>
                      <a:picLocks noChangeAspect="1"/>
                    </pic:cNvPicPr>
                  </pic:nvPicPr>
                  <pic:blipFill>
                    <a:blip r:embed="rId4"/>
                    <a:stretch>
                      <a:fillRect/>
                    </a:stretch>
                  </pic:blipFill>
                  <pic:spPr>
                    <a:xfrm>
                      <a:off x="0" y="0"/>
                      <a:ext cx="4876800" cy="2735580"/>
                    </a:xfrm>
                    <a:prstGeom prst="rect">
                      <a:avLst/>
                    </a:prstGeom>
                  </pic:spPr>
                </pic:pic>
              </a:graphicData>
            </a:graphic>
          </wp:anchor>
        </w:drawing>
      </w:r>
    </w:p>
    <w:p>
      <w:pPr>
        <w:bidi w:val="0"/>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1660288" behindDoc="1" locked="0" layoutInCell="1" allowOverlap="1">
            <wp:simplePos x="0" y="0"/>
            <wp:positionH relativeFrom="column">
              <wp:posOffset>200660</wp:posOffset>
            </wp:positionH>
            <wp:positionV relativeFrom="paragraph">
              <wp:posOffset>2194560</wp:posOffset>
            </wp:positionV>
            <wp:extent cx="4876800" cy="2735580"/>
            <wp:effectExtent l="0" t="0" r="0" b="7620"/>
            <wp:wrapNone/>
            <wp:docPr id="2" name="图片 2" descr="DSC0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06506"/>
                    <pic:cNvPicPr>
                      <a:picLocks noChangeAspect="1"/>
                    </pic:cNvPicPr>
                  </pic:nvPicPr>
                  <pic:blipFill>
                    <a:blip r:embed="rId5"/>
                    <a:stretch>
                      <a:fillRect/>
                    </a:stretch>
                  </pic:blipFill>
                  <pic:spPr>
                    <a:xfrm>
                      <a:off x="0" y="0"/>
                      <a:ext cx="4876800" cy="2735580"/>
                    </a:xfrm>
                    <a:prstGeom prst="rect">
                      <a:avLst/>
                    </a:prstGeom>
                  </pic:spPr>
                </pic:pic>
              </a:graphicData>
            </a:graphic>
          </wp:anchor>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6B4BFA-F15D-4DB3-AE18-9329441FB8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D49248E7-0DAE-4941-8593-45A62A521A5B}"/>
  </w:font>
  <w:font w:name="方正小标宋简体">
    <w:panose1 w:val="02000000000000000000"/>
    <w:charset w:val="86"/>
    <w:family w:val="auto"/>
    <w:pitch w:val="default"/>
    <w:sig w:usb0="00000001" w:usb1="080E0000" w:usb2="00000000" w:usb3="00000000" w:csb0="00040000" w:csb1="00000000"/>
    <w:embedRegular r:id="rId3" w:fontKey="{EE2AF8B0-EE65-4705-A34A-BA686A5DDA1D}"/>
  </w:font>
  <w:font w:name="楷体_GB2312">
    <w:altName w:val="楷体"/>
    <w:panose1 w:val="02010609030101010101"/>
    <w:charset w:val="86"/>
    <w:family w:val="modern"/>
    <w:pitch w:val="default"/>
    <w:sig w:usb0="00000000" w:usb1="00000000" w:usb2="00000000" w:usb3="00000000" w:csb0="00040000" w:csb1="00000000"/>
    <w:embedRegular r:id="rId4" w:fontKey="{1FE288B0-71F2-43BE-B60C-20F1A3143B32}"/>
  </w:font>
  <w:font w:name="仿宋">
    <w:panose1 w:val="02010609060101010101"/>
    <w:charset w:val="86"/>
    <w:family w:val="auto"/>
    <w:pitch w:val="default"/>
    <w:sig w:usb0="800002BF" w:usb1="38CF7CFA" w:usb2="00000016" w:usb3="00000000" w:csb0="00040001" w:csb1="00000000"/>
    <w:embedRegular r:id="rId5" w:fontKey="{F023BD96-7B89-4BB0-ABF4-D2E0B49B4CE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MWRiMmU5Mzg0ZTZkMWE2NjVmOGUxMzY1MDFlMWIifQ=="/>
  </w:docVars>
  <w:rsids>
    <w:rsidRoot w:val="2AE367C5"/>
    <w:rsid w:val="2AE367C5"/>
    <w:rsid w:val="43234D74"/>
    <w:rsid w:val="52104920"/>
    <w:rsid w:val="6A7C2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outlineLvl w:val="0"/>
    </w:pPr>
    <w:rPr>
      <w:rFonts w:ascii="黑体" w:hAnsi="黑体" w:eastAsia="黑体"/>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180</Words>
  <Characters>189</Characters>
  <Lines>0</Lines>
  <Paragraphs>0</Paragraphs>
  <TotalTime>15</TotalTime>
  <ScaleCrop>false</ScaleCrop>
  <LinksUpToDate>false</LinksUpToDate>
  <CharactersWithSpaces>194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2023-05-06T09:21:00Z</dcterms:created>
  <dc:creator>WPS_1601339880</dc:creator>
  <cp:lastModifiedBy>WPS_1601339880</cp:lastModifiedBy>
  <dcterms:modified xsi:type="dcterms:W3CDTF">2023-05-08T02:32:35Z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4A4B547F3CED4204AEF1322E7902A5E6_11</vt:lpwstr>
  </property>
</Properties>
</file>