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val="0"/>
          <w:i w:val="0"/>
          <w:outline w:val="0"/>
          <w:shadow w:val="0"/>
          <w:emboss w:val="0"/>
          <w:imprint w:val="0"/>
          <w:snapToGrid/>
          <w:vanish w:val="0"/>
          <w:color w:val="000000"/>
          <w:spacing w:val="0"/>
          <w:w w:val="100"/>
          <w:kern w:val="2"/>
          <w:position w:val="0"/>
          <w:sz w:val="44"/>
          <w:szCs w:val="44"/>
          <w:u w:val="none"/>
        </w:rPr>
      </w:pPr>
      <w:r>
        <w:rPr>
          <w:rFonts w:hint="eastAsia" w:ascii="方正小标宋简体" w:hAnsi="方正小标宋简体" w:eastAsia="方正小标宋简体" w:cs="方正小标宋简体"/>
          <w:b w:val="0"/>
          <w:bCs w:val="0"/>
          <w:i w:val="0"/>
          <w:outline w:val="0"/>
          <w:shadow w:val="0"/>
          <w:emboss w:val="0"/>
          <w:imprint w:val="0"/>
          <w:snapToGrid/>
          <w:vanish w:val="0"/>
          <w:color w:val="000000"/>
          <w:spacing w:val="0"/>
          <w:w w:val="100"/>
          <w:kern w:val="2"/>
          <w:position w:val="0"/>
          <w:sz w:val="44"/>
          <w:szCs w:val="44"/>
          <w:u w:val="none"/>
        </w:rPr>
        <w:t>佛山市南海区</w:t>
      </w:r>
      <w:r>
        <w:rPr>
          <w:rFonts w:hint="eastAsia" w:ascii="方正小标宋简体" w:hAnsi="方正小标宋简体" w:eastAsia="方正小标宋简体" w:cs="方正小标宋简体"/>
          <w:b w:val="0"/>
          <w:bCs w:val="0"/>
          <w:i w:val="0"/>
          <w:outline w:val="0"/>
          <w:shadow w:val="0"/>
          <w:emboss w:val="0"/>
          <w:imprint w:val="0"/>
          <w:snapToGrid/>
          <w:vanish w:val="0"/>
          <w:color w:val="000000"/>
          <w:spacing w:val="0"/>
          <w:w w:val="100"/>
          <w:kern w:val="2"/>
          <w:position w:val="0"/>
          <w:sz w:val="44"/>
          <w:szCs w:val="44"/>
          <w:u w:val="none"/>
          <w:lang w:val="en-US" w:eastAsia="zh-CN"/>
        </w:rPr>
        <w:t>促进商贸</w:t>
      </w:r>
      <w:r>
        <w:rPr>
          <w:rFonts w:hint="eastAsia" w:ascii="方正小标宋简体" w:hAnsi="方正小标宋简体" w:eastAsia="方正小标宋简体" w:cs="方正小标宋简体"/>
          <w:b w:val="0"/>
          <w:bCs w:val="0"/>
          <w:i w:val="0"/>
          <w:outline w:val="0"/>
          <w:shadow w:val="0"/>
          <w:emboss w:val="0"/>
          <w:imprint w:val="0"/>
          <w:snapToGrid/>
          <w:vanish w:val="0"/>
          <w:color w:val="000000"/>
          <w:spacing w:val="0"/>
          <w:w w:val="100"/>
          <w:kern w:val="2"/>
          <w:position w:val="0"/>
          <w:sz w:val="44"/>
          <w:szCs w:val="44"/>
          <w:u w:val="none"/>
        </w:rPr>
        <w:t>业发展</w:t>
      </w:r>
      <w:r>
        <w:rPr>
          <w:rFonts w:hint="eastAsia" w:ascii="方正小标宋简体" w:hAnsi="方正小标宋简体" w:eastAsia="方正小标宋简体" w:cs="方正小标宋简体"/>
          <w:b w:val="0"/>
          <w:bCs w:val="0"/>
          <w:i w:val="0"/>
          <w:outline w:val="0"/>
          <w:shadow w:val="0"/>
          <w:emboss w:val="0"/>
          <w:imprint w:val="0"/>
          <w:snapToGrid/>
          <w:vanish w:val="0"/>
          <w:color w:val="000000"/>
          <w:spacing w:val="0"/>
          <w:w w:val="100"/>
          <w:kern w:val="2"/>
          <w:position w:val="0"/>
          <w:sz w:val="44"/>
          <w:szCs w:val="44"/>
          <w:u w:val="none"/>
          <w:lang w:val="en-US" w:eastAsia="zh-CN"/>
        </w:rPr>
        <w:t>扶持</w:t>
      </w:r>
      <w:r>
        <w:rPr>
          <w:rFonts w:hint="eastAsia" w:ascii="方正小标宋简体" w:hAnsi="方正小标宋简体" w:eastAsia="方正小标宋简体" w:cs="方正小标宋简体"/>
          <w:b w:val="0"/>
          <w:bCs w:val="0"/>
          <w:i w:val="0"/>
          <w:outline w:val="0"/>
          <w:shadow w:val="0"/>
          <w:emboss w:val="0"/>
          <w:imprint w:val="0"/>
          <w:snapToGrid/>
          <w:vanish w:val="0"/>
          <w:color w:val="000000"/>
          <w:spacing w:val="0"/>
          <w:w w:val="100"/>
          <w:kern w:val="2"/>
          <w:position w:val="0"/>
          <w:sz w:val="44"/>
          <w:szCs w:val="44"/>
          <w:u w:val="none"/>
        </w:rPr>
        <w:t>办法</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宋体" w:hAnsi="宋体" w:eastAsia="仿宋_GB2312" w:cs="黑体"/>
          <w:b w:val="0"/>
          <w:i w:val="0"/>
          <w:outline w:val="0"/>
          <w:shadow w:val="0"/>
          <w:emboss w:val="0"/>
          <w:imprint w:val="0"/>
          <w:snapToGrid/>
          <w:vanish w:val="0"/>
          <w:color w:val="000000"/>
          <w:spacing w:val="0"/>
          <w:w w:val="100"/>
          <w:kern w:val="2"/>
          <w:position w:val="0"/>
          <w:sz w:val="32"/>
          <w:szCs w:val="32"/>
          <w:u w:val="none"/>
        </w:rPr>
      </w:pP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黑体" w:hAnsi="黑体" w:eastAsia="黑体" w:cs="黑体"/>
          <w:b w:val="0"/>
          <w:i w:val="0"/>
          <w:outline w:val="0"/>
          <w:shadow w:val="0"/>
          <w:emboss w:val="0"/>
          <w:imprint w:val="0"/>
          <w:snapToGrid/>
          <w:vanish w:val="0"/>
          <w:color w:val="000000"/>
          <w:spacing w:val="0"/>
          <w:w w:val="100"/>
          <w:kern w:val="2"/>
          <w:position w:val="0"/>
          <w:sz w:val="32"/>
          <w:szCs w:val="32"/>
          <w:u w:val="none"/>
        </w:rPr>
      </w:pPr>
      <w:r>
        <w:rPr>
          <w:rFonts w:hint="eastAsia" w:ascii="黑体" w:hAnsi="黑体" w:eastAsia="黑体" w:cs="黑体"/>
          <w:b w:val="0"/>
          <w:i w:val="0"/>
          <w:outline w:val="0"/>
          <w:shadow w:val="0"/>
          <w:emboss w:val="0"/>
          <w:imprint w:val="0"/>
          <w:snapToGrid/>
          <w:vanish w:val="0"/>
          <w:color w:val="000000"/>
          <w:spacing w:val="0"/>
          <w:w w:val="100"/>
          <w:kern w:val="2"/>
          <w:position w:val="0"/>
          <w:sz w:val="32"/>
          <w:szCs w:val="32"/>
          <w:u w:val="none"/>
        </w:rPr>
        <w:t>第一章  总则</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pPr>
      <w:r>
        <w:rPr>
          <w:rFonts w:hint="eastAsia" w:ascii="黑体" w:hAnsi="黑体" w:eastAsia="黑体" w:cs="仿宋_GB2312"/>
          <w:b w:val="0"/>
          <w:bCs/>
          <w:i w:val="0"/>
          <w:outline w:val="0"/>
          <w:shadow w:val="0"/>
          <w:emboss w:val="0"/>
          <w:imprint w:val="0"/>
          <w:snapToGrid/>
          <w:vanish w:val="0"/>
          <w:color w:val="000000"/>
          <w:spacing w:val="0"/>
          <w:w w:val="100"/>
          <w:kern w:val="2"/>
          <w:position w:val="0"/>
          <w:sz w:val="32"/>
          <w:szCs w:val="32"/>
          <w:u w:val="none"/>
        </w:rPr>
        <w:t>第一条</w:t>
      </w:r>
      <w:r>
        <w:rPr>
          <w:rFonts w:hint="eastAsia" w:ascii="宋体" w:hAnsi="宋体" w:eastAsia="仿宋_GB2312" w:cs="仿宋_GB2312"/>
          <w:b w:val="0"/>
          <w:bCs/>
          <w:i w:val="0"/>
          <w:outline w:val="0"/>
          <w:shadow w:val="0"/>
          <w:emboss w:val="0"/>
          <w:imprint w:val="0"/>
          <w:snapToGrid/>
          <w:vanish w:val="0"/>
          <w:color w:val="000000"/>
          <w:spacing w:val="0"/>
          <w:w w:val="100"/>
          <w:kern w:val="2"/>
          <w:position w:val="0"/>
          <w:sz w:val="32"/>
          <w:szCs w:val="32"/>
          <w:u w:val="none"/>
        </w:rPr>
        <w:t xml:space="preserve"> </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t>为</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lang w:val="en-US" w:eastAsia="zh-CN"/>
        </w:rPr>
        <w:t>贯彻落实国家、省、市扩大促消费，加快经济内循环等一揽子政策措施有关要求，根据《佛山市商务局关于印发佛山市促商贸流通业高质</w:t>
      </w:r>
      <w:bookmarkStart w:id="0" w:name="_GoBack"/>
      <w:bookmarkEnd w:id="0"/>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lang w:val="en-US" w:eastAsia="zh-CN"/>
        </w:rPr>
        <w:t>量发展若干措施的通知》（佛商务内贸字〔2021〕13号）等文件精神</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t>，促进南海</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lang w:val="en-US" w:eastAsia="zh-CN"/>
        </w:rPr>
        <w:t>商贸</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t>行业的创新与发展，激发南海现代服务业发展升级的活力和动力，</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lang w:val="en-US" w:eastAsia="zh-CN"/>
        </w:rPr>
        <w:t>加快培育建设国家消费中心区域</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t>，</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lang w:val="en-US" w:eastAsia="zh-CN"/>
        </w:rPr>
        <w:t>推动消费集聚发展</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t>，</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lang w:val="en-US" w:eastAsia="zh-CN"/>
        </w:rPr>
        <w:t>提质增效，</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t>结合我区实际，制定本办法。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pPr>
      <w:r>
        <w:rPr>
          <w:rFonts w:hint="eastAsia" w:ascii="黑体" w:hAnsi="黑体" w:eastAsia="黑体" w:cs="仿宋_GB2312"/>
          <w:b w:val="0"/>
          <w:bCs/>
          <w:i w:val="0"/>
          <w:outline w:val="0"/>
          <w:shadow w:val="0"/>
          <w:emboss w:val="0"/>
          <w:imprint w:val="0"/>
          <w:snapToGrid/>
          <w:vanish w:val="0"/>
          <w:color w:val="000000"/>
          <w:spacing w:val="0"/>
          <w:w w:val="100"/>
          <w:kern w:val="2"/>
          <w:position w:val="0"/>
          <w:sz w:val="32"/>
          <w:szCs w:val="32"/>
          <w:u w:val="none"/>
          <w:lang w:val="en-US" w:eastAsia="zh-CN"/>
        </w:rPr>
        <w:t>第二条</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t xml:space="preserve"> 区</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lang w:val="en-US" w:eastAsia="zh-CN"/>
        </w:rPr>
        <w:t>经济促进局</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t>设立</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lang w:val="en-US" w:eastAsia="zh-CN"/>
        </w:rPr>
        <w:t>南海区促进商贸业</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t>发展专项资金。</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lang w:val="en-US" w:eastAsia="zh-CN"/>
        </w:rPr>
        <w:t>由区级财政预算安排，在南海区促进商贸业发展专项资金中列支</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pPr>
      <w:r>
        <w:rPr>
          <w:rFonts w:hint="eastAsia" w:ascii="黑体" w:hAnsi="黑体" w:eastAsia="黑体" w:cs="仿宋_GB2312"/>
          <w:b w:val="0"/>
          <w:i w:val="0"/>
          <w:outline w:val="0"/>
          <w:shadow w:val="0"/>
          <w:emboss w:val="0"/>
          <w:imprint w:val="0"/>
          <w:snapToGrid/>
          <w:vanish w:val="0"/>
          <w:color w:val="000000"/>
          <w:spacing w:val="0"/>
          <w:w w:val="100"/>
          <w:kern w:val="2"/>
          <w:position w:val="0"/>
          <w:sz w:val="32"/>
          <w:szCs w:val="32"/>
          <w:u w:val="none"/>
          <w:lang w:val="en-US" w:eastAsia="zh-CN"/>
        </w:rPr>
        <w:t>第三条</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lang w:val="en-US" w:eastAsia="zh-CN"/>
        </w:rPr>
        <w:t xml:space="preserve"> </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t>本办法适用于在我区进行工商注册、税务登记，诚信经营、</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lang w:val="en-US" w:eastAsia="zh-CN"/>
        </w:rPr>
        <w:t>具备健全财务管理制度、未列入失信名单，</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t>无</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lang w:val="en-US" w:eastAsia="zh-CN"/>
        </w:rPr>
        <w:t>重大</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t>违法违纪行为</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lang w:eastAsia="zh-CN"/>
        </w:rPr>
        <w:t>的</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lang w:val="en-US" w:eastAsia="zh-CN"/>
        </w:rPr>
        <w:t>企业和机构</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t>，</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lang w:val="en-US" w:eastAsia="zh-CN"/>
        </w:rPr>
        <w:t>企业需具有独立法人资格和纳入南海区统计联网直报平台名录库。且其国民经济行业分类为批发和零售业、</w:t>
      </w:r>
      <w:r>
        <w:rPr>
          <w:rFonts w:hint="eastAsia" w:ascii="宋体" w:hAnsi="宋体" w:eastAsia="仿宋_GB2312" w:cs="仿宋_GB2312"/>
          <w:b w:val="0"/>
          <w:i w:val="0"/>
          <w:outline w:val="0"/>
          <w:shadow w:val="0"/>
          <w:emboss w:val="0"/>
          <w:imprint w:val="0"/>
          <w:snapToGrid/>
          <w:vanish w:val="0"/>
          <w:color w:val="000000"/>
          <w:spacing w:val="4"/>
          <w:w w:val="100"/>
          <w:kern w:val="2"/>
          <w:position w:val="0"/>
          <w:sz w:val="32"/>
          <w:szCs w:val="32"/>
          <w:u w:val="none"/>
          <w:lang w:val="en-US" w:eastAsia="zh-CN"/>
        </w:rPr>
        <w:t>住宿和餐饮业、租赁和商务服务业及居民服务、修理和其他服务业。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pPr>
      <w:r>
        <w:rPr>
          <w:rFonts w:hint="eastAsia" w:ascii="黑体" w:hAnsi="黑体" w:eastAsia="黑体" w:cs="仿宋_GB2312"/>
          <w:b w:val="0"/>
          <w:bCs/>
          <w:i w:val="0"/>
          <w:outline w:val="0"/>
          <w:shadow w:val="0"/>
          <w:emboss w:val="0"/>
          <w:imprint w:val="0"/>
          <w:snapToGrid/>
          <w:vanish w:val="0"/>
          <w:color w:val="000000"/>
          <w:spacing w:val="0"/>
          <w:w w:val="100"/>
          <w:kern w:val="2"/>
          <w:position w:val="0"/>
          <w:sz w:val="32"/>
          <w:szCs w:val="32"/>
          <w:u w:val="none"/>
          <w:lang w:val="en-US" w:eastAsia="zh-CN"/>
        </w:rPr>
        <w:t>第四条</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lang w:val="en-US" w:eastAsia="zh-CN"/>
        </w:rPr>
        <w:t xml:space="preserve"> </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t>本办法所指销售额是指在</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lang w:val="en-US" w:eastAsia="zh-CN"/>
        </w:rPr>
        <w:t>税务</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t>部门申报的增值税应税销售额，纳税额是</w:t>
      </w:r>
      <w:r>
        <w:rPr>
          <w:rFonts w:hint="eastAsia" w:ascii="宋体" w:hAnsi="宋体" w:eastAsia="仿宋_GB2312" w:cs="仿宋"/>
          <w:b w:val="0"/>
          <w:i w:val="0"/>
          <w:outline w:val="0"/>
          <w:shadow w:val="0"/>
          <w:emboss w:val="0"/>
          <w:imprint w:val="0"/>
          <w:snapToGrid/>
          <w:vanish w:val="0"/>
          <w:color w:val="000000"/>
          <w:spacing w:val="0"/>
          <w:w w:val="100"/>
          <w:kern w:val="2"/>
          <w:position w:val="0"/>
          <w:sz w:val="32"/>
          <w:szCs w:val="32"/>
          <w:highlight w:val="none"/>
          <w:u w:val="none"/>
          <w:lang w:val="en-US" w:eastAsia="zh-CN"/>
        </w:rPr>
        <w:t>指按税款入库期计算的在南海区实际入库税收额（含免抵调、不含代扣代缴个人所得税）</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t>，地方</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lang w:val="en-US" w:eastAsia="zh-CN"/>
        </w:rPr>
        <w:t>增效</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t>贡献以</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lang w:val="en-US" w:eastAsia="zh-CN"/>
        </w:rPr>
        <w:t>区税务</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t>部门</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lang w:val="en-US" w:eastAsia="zh-CN"/>
        </w:rPr>
        <w:t>提供的数据</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t>为准。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pP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t>本办法所</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lang w:val="en-US" w:eastAsia="zh-CN"/>
        </w:rPr>
        <w:t>指</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t>连锁经营，其中直营连锁、</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lang w:val="en-US" w:eastAsia="zh-CN"/>
        </w:rPr>
        <w:t>商业</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t>特许的认定以商务部门出具的直营连锁认定意见、商业特许经营备案为准；其他连锁经营情况的认定需以经区经济促进局</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lang w:val="en-US" w:eastAsia="zh-CN"/>
        </w:rPr>
        <w:t>委托</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t>的连锁经营行业协会出具的审核意见为准。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default" w:ascii="宋体" w:hAnsi="宋体" w:eastAsia="仿宋_GB2312"/>
          <w:b w:val="0"/>
          <w:i w:val="0"/>
          <w:outline w:val="0"/>
          <w:shadow w:val="0"/>
          <w:emboss w:val="0"/>
          <w:imprint w:val="0"/>
          <w:snapToGrid/>
          <w:vanish w:val="0"/>
          <w:color w:val="000000"/>
          <w:spacing w:val="0"/>
          <w:w w:val="100"/>
          <w:kern w:val="2"/>
          <w:position w:val="0"/>
          <w:sz w:val="32"/>
          <w:u w:val="none"/>
          <w:lang w:val="en-US" w:eastAsia="zh-CN"/>
        </w:rPr>
      </w:pP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lang w:val="en-US" w:eastAsia="zh-CN"/>
        </w:rPr>
        <w:t>本办法奖励的连锁经营企业总部（以下简称连锁企业总部）和连锁经营企业（以下简称连锁企业）均需纳入南海区统计联网直报平台名录库。</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jc w:val="center"/>
        <w:textAlignment w:val="auto"/>
        <w:outlineLvl w:val="9"/>
        <w:rPr>
          <w:rFonts w:hint="eastAsia" w:ascii="黑体" w:hAnsi="黑体" w:eastAsia="黑体" w:cs="仿宋_GB2312"/>
          <w:b w:val="0"/>
          <w:i w:val="0"/>
          <w:outline w:val="0"/>
          <w:shadow w:val="0"/>
          <w:emboss w:val="0"/>
          <w:imprint w:val="0"/>
          <w:snapToGrid/>
          <w:vanish w:val="0"/>
          <w:color w:val="000000"/>
          <w:spacing w:val="0"/>
          <w:w w:val="100"/>
          <w:kern w:val="2"/>
          <w:position w:val="0"/>
          <w:sz w:val="32"/>
          <w:szCs w:val="32"/>
          <w:highlight w:val="none"/>
          <w:u w:val="none"/>
          <w:lang w:val="en-US" w:eastAsia="zh-CN"/>
        </w:rPr>
      </w:pPr>
      <w:r>
        <w:rPr>
          <w:rFonts w:hint="eastAsia" w:ascii="黑体" w:hAnsi="黑体" w:eastAsia="黑体" w:cs="黑体"/>
          <w:b w:val="0"/>
          <w:i w:val="0"/>
          <w:outline w:val="0"/>
          <w:shadow w:val="0"/>
          <w:emboss w:val="0"/>
          <w:imprint w:val="0"/>
          <w:snapToGrid/>
          <w:vanish w:val="0"/>
          <w:color w:val="000000"/>
          <w:spacing w:val="0"/>
          <w:w w:val="100"/>
          <w:kern w:val="2"/>
          <w:position w:val="0"/>
          <w:sz w:val="32"/>
          <w:szCs w:val="32"/>
          <w:u w:val="none"/>
        </w:rPr>
        <w:t>第二章  促进大型、知名连锁企业发展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pPr>
      <w:r>
        <w:rPr>
          <w:rFonts w:hint="eastAsia" w:ascii="黑体" w:hAnsi="黑体" w:eastAsia="黑体" w:cs="仿宋_GB2312"/>
          <w:b w:val="0"/>
          <w:bCs/>
          <w:i w:val="0"/>
          <w:outline w:val="0"/>
          <w:shadow w:val="0"/>
          <w:emboss w:val="0"/>
          <w:imprint w:val="0"/>
          <w:snapToGrid/>
          <w:vanish w:val="0"/>
          <w:color w:val="000000"/>
          <w:spacing w:val="0"/>
          <w:w w:val="100"/>
          <w:kern w:val="2"/>
          <w:position w:val="0"/>
          <w:sz w:val="32"/>
          <w:szCs w:val="32"/>
          <w:highlight w:val="none"/>
          <w:u w:val="none"/>
          <w:lang w:val="en-US" w:eastAsia="zh-CN"/>
        </w:rPr>
        <w:t>第五条</w:t>
      </w:r>
      <w:r>
        <w:rPr>
          <w:rFonts w:hint="eastAsia" w:ascii="宋体" w:hAnsi="宋体" w:eastAsia="仿宋_GB2312" w:cs="仿宋_GB2312"/>
          <w:b w:val="0"/>
          <w:bCs/>
          <w:i w:val="0"/>
          <w:outline w:val="0"/>
          <w:shadow w:val="0"/>
          <w:emboss w:val="0"/>
          <w:imprint w:val="0"/>
          <w:snapToGrid/>
          <w:vanish w:val="0"/>
          <w:color w:val="000000"/>
          <w:spacing w:val="0"/>
          <w:w w:val="100"/>
          <w:kern w:val="2"/>
          <w:position w:val="0"/>
          <w:sz w:val="32"/>
          <w:szCs w:val="32"/>
          <w:highlight w:val="none"/>
          <w:u w:val="none"/>
          <w:lang w:val="en-US" w:eastAsia="zh-CN"/>
        </w:rPr>
        <w:t xml:space="preserve"> </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t>对新引进</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lang w:eastAsia="zh-CN"/>
        </w:rPr>
        <w:t>（</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t>新设立</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lang w:eastAsia="zh-CN"/>
        </w:rPr>
        <w:t>）</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t>连锁企业总部</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lang w:eastAsia="zh-CN"/>
        </w:rPr>
        <w:t>（</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t>包括连锁企业区域总经销、总代理等区域总部或销售公司等功能型总部</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lang w:eastAsia="zh-CN"/>
        </w:rPr>
        <w:t>）</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t>可享受如下扶持：</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pPr>
      <w:r>
        <w:rPr>
          <w:rFonts w:hint="eastAsia" w:ascii="楷体_GB2312" w:hAnsi="楷体_GB2312" w:eastAsia="楷体_GB2312" w:cs="仿宋_GB2312"/>
          <w:b w:val="0"/>
          <w:i w:val="0"/>
          <w:outline w:val="0"/>
          <w:shadow w:val="0"/>
          <w:emboss w:val="0"/>
          <w:imprint w:val="0"/>
          <w:snapToGrid/>
          <w:vanish w:val="0"/>
          <w:color w:val="000000"/>
          <w:spacing w:val="0"/>
          <w:w w:val="100"/>
          <w:kern w:val="2"/>
          <w:position w:val="0"/>
          <w:sz w:val="32"/>
          <w:szCs w:val="32"/>
          <w:u w:val="none"/>
          <w:lang w:eastAsia="zh-CN"/>
        </w:rPr>
        <w:t>（</w:t>
      </w:r>
      <w:r>
        <w:rPr>
          <w:rFonts w:hint="eastAsia" w:ascii="楷体_GB2312" w:hAnsi="楷体_GB2312" w:eastAsia="楷体_GB2312" w:cs="仿宋_GB2312"/>
          <w:b w:val="0"/>
          <w:i w:val="0"/>
          <w:outline w:val="0"/>
          <w:shadow w:val="0"/>
          <w:emboss w:val="0"/>
          <w:imprint w:val="0"/>
          <w:snapToGrid/>
          <w:vanish w:val="0"/>
          <w:color w:val="000000"/>
          <w:spacing w:val="0"/>
          <w:w w:val="100"/>
          <w:kern w:val="2"/>
          <w:position w:val="0"/>
          <w:sz w:val="32"/>
          <w:szCs w:val="32"/>
          <w:u w:val="none"/>
          <w:lang w:val="en-US" w:eastAsia="zh-CN"/>
        </w:rPr>
        <w:t>一</w:t>
      </w:r>
      <w:r>
        <w:rPr>
          <w:rFonts w:hint="eastAsia" w:ascii="楷体_GB2312" w:hAnsi="楷体_GB2312" w:eastAsia="楷体_GB2312" w:cs="仿宋_GB2312"/>
          <w:b w:val="0"/>
          <w:i w:val="0"/>
          <w:outline w:val="0"/>
          <w:shadow w:val="0"/>
          <w:emboss w:val="0"/>
          <w:imprint w:val="0"/>
          <w:snapToGrid/>
          <w:vanish w:val="0"/>
          <w:color w:val="000000"/>
          <w:spacing w:val="0"/>
          <w:w w:val="100"/>
          <w:kern w:val="2"/>
          <w:position w:val="0"/>
          <w:sz w:val="32"/>
          <w:szCs w:val="32"/>
          <w:u w:val="none"/>
          <w:lang w:eastAsia="zh-CN"/>
        </w:rPr>
        <w:t>）</w:t>
      </w:r>
      <w:r>
        <w:rPr>
          <w:rFonts w:hint="eastAsia" w:ascii="楷体_GB2312" w:hAnsi="楷体_GB2312" w:eastAsia="楷体_GB2312" w:cs="仿宋_GB2312"/>
          <w:b w:val="0"/>
          <w:i w:val="0"/>
          <w:outline w:val="0"/>
          <w:shadow w:val="0"/>
          <w:emboss w:val="0"/>
          <w:imprint w:val="0"/>
          <w:snapToGrid/>
          <w:vanish w:val="0"/>
          <w:color w:val="000000"/>
          <w:spacing w:val="0"/>
          <w:w w:val="100"/>
          <w:kern w:val="2"/>
          <w:position w:val="0"/>
          <w:sz w:val="32"/>
          <w:szCs w:val="32"/>
          <w:u w:val="none"/>
        </w:rPr>
        <w:t>重大项目扶持：</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lang w:val="en-US" w:eastAsia="zh-CN"/>
        </w:rPr>
        <w:t>对属于</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t>连锁企业全国总部且年销售额达</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lang w:val="en-US" w:eastAsia="zh-CN"/>
        </w:rPr>
        <w:t>到20</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t>亿元以上</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lang w:val="en-US" w:eastAsia="zh-CN"/>
        </w:rPr>
        <w:t>或</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t>属于连锁企业省级及以上区域总部且年销售额达</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lang w:val="en-US" w:eastAsia="zh-CN"/>
        </w:rPr>
        <w:t>到10</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t>亿元以上的</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lang w:eastAsia="zh-CN"/>
        </w:rPr>
        <w:t>，</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lang w:val="en-US" w:eastAsia="zh-CN"/>
        </w:rPr>
        <w:t>按照“一事一议”的原则，经区政府批准后给予专项支持</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楷体_GB2312" w:hAnsi="楷体_GB2312" w:eastAsia="楷体_GB2312" w:cs="仿宋_GB2312"/>
          <w:b w:val="0"/>
          <w:i w:val="0"/>
          <w:outline w:val="0"/>
          <w:shadow w:val="0"/>
          <w:emboss w:val="0"/>
          <w:imprint w:val="0"/>
          <w:snapToGrid/>
          <w:vanish w:val="0"/>
          <w:color w:val="000000"/>
          <w:spacing w:val="0"/>
          <w:w w:val="100"/>
          <w:kern w:val="2"/>
          <w:position w:val="0"/>
          <w:sz w:val="32"/>
          <w:szCs w:val="32"/>
          <w:u w:val="none"/>
        </w:rPr>
      </w:pPr>
      <w:r>
        <w:rPr>
          <w:rFonts w:hint="eastAsia" w:ascii="楷体_GB2312" w:hAnsi="楷体_GB2312" w:eastAsia="楷体_GB2312" w:cs="仿宋_GB2312"/>
          <w:b w:val="0"/>
          <w:i w:val="0"/>
          <w:outline w:val="0"/>
          <w:shadow w:val="0"/>
          <w:emboss w:val="0"/>
          <w:imprint w:val="0"/>
          <w:snapToGrid/>
          <w:vanish w:val="0"/>
          <w:color w:val="000000"/>
          <w:spacing w:val="0"/>
          <w:w w:val="100"/>
          <w:kern w:val="2"/>
          <w:position w:val="0"/>
          <w:sz w:val="32"/>
          <w:szCs w:val="32"/>
          <w:u w:val="none"/>
          <w:lang w:val="en-US" w:eastAsia="zh-CN"/>
        </w:rPr>
        <w:t>（二）对于</w:t>
      </w:r>
      <w:r>
        <w:rPr>
          <w:rFonts w:hint="eastAsia" w:ascii="楷体_GB2312" w:hAnsi="楷体_GB2312" w:eastAsia="楷体_GB2312" w:cs="仿宋_GB2312"/>
          <w:b w:val="0"/>
          <w:i w:val="0"/>
          <w:outline w:val="0"/>
          <w:shadow w:val="0"/>
          <w:emboss w:val="0"/>
          <w:imprint w:val="0"/>
          <w:snapToGrid/>
          <w:vanish w:val="0"/>
          <w:color w:val="000000"/>
          <w:spacing w:val="0"/>
          <w:w w:val="100"/>
          <w:kern w:val="2"/>
          <w:position w:val="0"/>
          <w:sz w:val="32"/>
          <w:szCs w:val="32"/>
          <w:u w:val="none"/>
        </w:rPr>
        <w:t>年销售额达</w:t>
      </w:r>
      <w:r>
        <w:rPr>
          <w:rFonts w:hint="eastAsia" w:ascii="楷体_GB2312" w:hAnsi="楷体_GB2312" w:eastAsia="楷体_GB2312" w:cs="仿宋_GB2312"/>
          <w:b w:val="0"/>
          <w:i w:val="0"/>
          <w:outline w:val="0"/>
          <w:shadow w:val="0"/>
          <w:emboss w:val="0"/>
          <w:imprint w:val="0"/>
          <w:snapToGrid/>
          <w:vanish w:val="0"/>
          <w:color w:val="000000"/>
          <w:spacing w:val="0"/>
          <w:w w:val="100"/>
          <w:kern w:val="2"/>
          <w:position w:val="0"/>
          <w:sz w:val="32"/>
          <w:szCs w:val="32"/>
          <w:u w:val="none"/>
          <w:lang w:val="en-US" w:eastAsia="zh-CN"/>
        </w:rPr>
        <w:t>到5000万</w:t>
      </w:r>
      <w:r>
        <w:rPr>
          <w:rFonts w:hint="eastAsia" w:ascii="楷体_GB2312" w:hAnsi="楷体_GB2312" w:eastAsia="楷体_GB2312" w:cs="仿宋_GB2312"/>
          <w:b w:val="0"/>
          <w:i w:val="0"/>
          <w:outline w:val="0"/>
          <w:shadow w:val="0"/>
          <w:emboss w:val="0"/>
          <w:imprint w:val="0"/>
          <w:snapToGrid/>
          <w:vanish w:val="0"/>
          <w:color w:val="000000"/>
          <w:spacing w:val="0"/>
          <w:w w:val="100"/>
          <w:kern w:val="2"/>
          <w:position w:val="0"/>
          <w:sz w:val="32"/>
          <w:szCs w:val="32"/>
          <w:u w:val="none"/>
        </w:rPr>
        <w:t>元的，按如下标准给予扶持：</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pP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lang w:val="en-US" w:eastAsia="zh-CN"/>
        </w:rPr>
        <w:t>1.</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t>年销售额达到</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lang w:val="en-US" w:eastAsia="zh-CN"/>
        </w:rPr>
        <w:t>5000</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t>万元以上、不足</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lang w:val="en-US" w:eastAsia="zh-CN"/>
        </w:rPr>
        <w:t>3</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t>亿元的一次性扶持</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lang w:val="en-US" w:eastAsia="zh-CN"/>
        </w:rPr>
        <w:t>50</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t>万元。</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pP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lang w:val="en-US" w:eastAsia="zh-CN"/>
        </w:rPr>
        <w:t>2.</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t>年销售额达到</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lang w:val="en-US" w:eastAsia="zh-CN"/>
        </w:rPr>
        <w:t>3</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t>亿元以上、不足</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lang w:val="en-US" w:eastAsia="zh-CN"/>
        </w:rPr>
        <w:t>8</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t>亿元的一次性扶持100万元。</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pP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lang w:val="en-US" w:eastAsia="zh-CN"/>
        </w:rPr>
        <w:t>3.</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t>年销售额达到</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lang w:val="en-US" w:eastAsia="zh-CN"/>
        </w:rPr>
        <w:t>8</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t>亿元以上、不足</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lang w:val="en-US" w:eastAsia="zh-CN"/>
        </w:rPr>
        <w:t>10</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t>亿元的一次性扶持300</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lang w:val="en-US" w:eastAsia="zh-CN"/>
        </w:rPr>
        <w:t>万</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t>元。</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default" w:ascii="宋体" w:hAnsi="宋体" w:eastAsia="仿宋_GB2312" w:cs="仿宋_GB2312"/>
          <w:b w:val="0"/>
          <w:i w:val="0"/>
          <w:outline w:val="0"/>
          <w:shadow w:val="0"/>
          <w:emboss w:val="0"/>
          <w:imprint w:val="0"/>
          <w:snapToGrid/>
          <w:vanish w:val="0"/>
          <w:color w:val="000000"/>
          <w:spacing w:val="0"/>
          <w:w w:val="100"/>
          <w:kern w:val="2"/>
          <w:position w:val="0"/>
          <w:sz w:val="32"/>
          <w:szCs w:val="32"/>
          <w:highlight w:val="yellow"/>
          <w:u w:val="none"/>
        </w:rPr>
      </w:pP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t>该项扶持在企业注册登记之日起在</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lang w:val="en-US" w:eastAsia="zh-CN"/>
        </w:rPr>
        <w:t>2</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t>个自然年内达到扶持标准即可申请。</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default"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pPr>
      <w:r>
        <w:rPr>
          <w:rFonts w:hint="eastAsia" w:ascii="黑体" w:hAnsi="黑体" w:eastAsia="黑体" w:cs="仿宋_GB2312"/>
          <w:b w:val="0"/>
          <w:bCs/>
          <w:i w:val="0"/>
          <w:outline w:val="0"/>
          <w:shadow w:val="0"/>
          <w:emboss w:val="0"/>
          <w:imprint w:val="0"/>
          <w:snapToGrid/>
          <w:vanish w:val="0"/>
          <w:color w:val="000000"/>
          <w:spacing w:val="0"/>
          <w:w w:val="100"/>
          <w:kern w:val="2"/>
          <w:position w:val="0"/>
          <w:sz w:val="32"/>
          <w:szCs w:val="32"/>
          <w:u w:val="none"/>
          <w:lang w:val="en-US" w:eastAsia="zh-CN"/>
        </w:rPr>
        <w:t>第六条</w:t>
      </w:r>
      <w:r>
        <w:rPr>
          <w:rFonts w:hint="eastAsia" w:ascii="宋体" w:hAnsi="宋体" w:eastAsia="仿宋_GB2312" w:cs="仿宋_GB2312"/>
          <w:b w:val="0"/>
          <w:bCs/>
          <w:i w:val="0"/>
          <w:outline w:val="0"/>
          <w:shadow w:val="0"/>
          <w:emboss w:val="0"/>
          <w:imprint w:val="0"/>
          <w:snapToGrid/>
          <w:vanish w:val="0"/>
          <w:color w:val="000000"/>
          <w:spacing w:val="0"/>
          <w:w w:val="100"/>
          <w:kern w:val="2"/>
          <w:position w:val="0"/>
          <w:sz w:val="32"/>
          <w:szCs w:val="32"/>
          <w:u w:val="none"/>
          <w:lang w:val="en-US" w:eastAsia="zh-CN"/>
        </w:rPr>
        <w:t xml:space="preserve"> </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t>区内现有连锁企业总部较上年销售额增幅达到</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lang w:val="en-US" w:eastAsia="zh-CN"/>
        </w:rPr>
        <w:t>30</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t>%以上的，按照企业较上年销售额</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lang w:val="en-US" w:eastAsia="zh-CN"/>
        </w:rPr>
        <w:t>增量部分3%</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t>予以奖励。符合条件的可连续申请相应奖励。</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lang w:val="en-US" w:eastAsia="zh-CN"/>
        </w:rPr>
        <w:t>奖励金额不超过企业当年地方增效贡献。</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default"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pP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t>如企业当年销售额下降或增加量未达到条件，当年不享受奖励，其后年度若相比上一个未下降年度达到增加量条件可继续申请奖励。</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highlight w:val="none"/>
          <w:u w:val="none"/>
          <w:lang w:eastAsia="zh-CN"/>
        </w:rPr>
      </w:pPr>
      <w:r>
        <w:rPr>
          <w:rFonts w:hint="eastAsia" w:ascii="黑体" w:hAnsi="黑体" w:eastAsia="黑体" w:cs="仿宋_GB2312"/>
          <w:b w:val="0"/>
          <w:bCs/>
          <w:i w:val="0"/>
          <w:outline w:val="0"/>
          <w:shadow w:val="0"/>
          <w:emboss w:val="0"/>
          <w:imprint w:val="0"/>
          <w:snapToGrid/>
          <w:vanish w:val="0"/>
          <w:color w:val="000000"/>
          <w:spacing w:val="0"/>
          <w:w w:val="100"/>
          <w:kern w:val="2"/>
          <w:position w:val="0"/>
          <w:sz w:val="32"/>
          <w:szCs w:val="32"/>
          <w:u w:val="none"/>
          <w:lang w:val="en-US" w:eastAsia="zh-CN"/>
        </w:rPr>
        <w:t>第七条</w:t>
      </w:r>
      <w:r>
        <w:rPr>
          <w:rFonts w:hint="eastAsia" w:ascii="宋体" w:hAnsi="宋体" w:eastAsia="仿宋_GB2312" w:cs="仿宋_GB2312"/>
          <w:b w:val="0"/>
          <w:bCs/>
          <w:i w:val="0"/>
          <w:outline w:val="0"/>
          <w:shadow w:val="0"/>
          <w:emboss w:val="0"/>
          <w:imprint w:val="0"/>
          <w:snapToGrid/>
          <w:vanish w:val="0"/>
          <w:color w:val="000000"/>
          <w:spacing w:val="0"/>
          <w:w w:val="100"/>
          <w:kern w:val="2"/>
          <w:position w:val="0"/>
          <w:sz w:val="32"/>
          <w:szCs w:val="32"/>
          <w:u w:val="none"/>
          <w:lang w:val="en-US" w:eastAsia="zh-CN"/>
        </w:rPr>
        <w:t xml:space="preserve"> </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highlight w:val="none"/>
          <w:u w:val="none"/>
        </w:rPr>
        <w:t>对区</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highlight w:val="none"/>
          <w:u w:val="none"/>
          <w:lang w:val="en-US" w:eastAsia="zh-CN"/>
        </w:rPr>
        <w:t>内</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highlight w:val="none"/>
          <w:u w:val="none"/>
        </w:rPr>
        <w:t>连锁企业总部给予租金补贴</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highlight w:val="none"/>
          <w:u w:val="none"/>
          <w:lang w:eastAsia="zh-CN"/>
        </w:rPr>
        <w:t>。</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highlight w:val="none"/>
          <w:u w:val="none"/>
          <w:lang w:val="en-US" w:eastAsia="zh-CN"/>
        </w:rPr>
        <w:t>对于现有连锁企业总部自然年度销售额达到5000万元以上或自然年纳税额达到500万元以上</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highlight w:val="none"/>
          <w:u w:val="none"/>
        </w:rPr>
        <w:t>的连锁企业总部在区内租赁社会物业作为总部办公场地（不含附属和配套用房、厂房等），按20元/平方米/月给予总部办公场地租金补贴给予</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highlight w:val="none"/>
          <w:u w:val="none"/>
          <w:lang w:val="en-US" w:eastAsia="zh-CN"/>
        </w:rPr>
        <w:t>相应自然年</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highlight w:val="none"/>
          <w:u w:val="none"/>
        </w:rPr>
        <w:t>租金补贴奖励，每家企业补贴面积不超过500平方米</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highlight w:val="none"/>
          <w:u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pP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t>对新进驻我区，且在我区无自有产权房需购买房产或租赁房产用作办公场地的连锁企业总部，进驻3年内购置房产的，在其取得房屋产权证后按照购房合同金额的3%给予补助，最高补助200万元；对新进驻且签订3年以上</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lang w:eastAsia="zh-CN"/>
        </w:rPr>
        <w:t>（</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t>含3年</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lang w:eastAsia="zh-CN"/>
        </w:rPr>
        <w:t>）</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t>租赁合同的连锁经营企业总部，前2年按20元/平方米/月给予总部办公场地租金补贴，每家企业补贴面积不超过200平方米。</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highlight w:val="none"/>
          <w:u w:val="none"/>
          <w:lang w:val="en-US" w:eastAsia="zh-CN"/>
        </w:rPr>
        <w:t>已</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highlight w:val="none"/>
          <w:u w:val="none"/>
        </w:rPr>
        <w:t>享受政府</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highlight w:val="none"/>
          <w:u w:val="none"/>
          <w:lang w:val="en-US" w:eastAsia="zh-CN"/>
        </w:rPr>
        <w:t>其他政策</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highlight w:val="none"/>
          <w:u w:val="none"/>
        </w:rPr>
        <w:t>租金补贴的企业或物业，不得重复申请租金补贴，按照“就高不重复”原则择一申请补贴。</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default" w:ascii="宋体" w:hAnsi="宋体" w:eastAsia="仿宋_GB2312" w:cs="仿宋_GB2312"/>
          <w:b w:val="0"/>
          <w:i w:val="0"/>
          <w:outline w:val="0"/>
          <w:shadow w:val="0"/>
          <w:emboss w:val="0"/>
          <w:imprint w:val="0"/>
          <w:snapToGrid/>
          <w:vanish w:val="0"/>
          <w:color w:val="000000"/>
          <w:spacing w:val="0"/>
          <w:w w:val="100"/>
          <w:kern w:val="2"/>
          <w:position w:val="0"/>
          <w:sz w:val="32"/>
          <w:szCs w:val="32"/>
          <w:u w:val="none"/>
          <w:lang w:val="en-US" w:eastAsia="zh-CN"/>
        </w:rPr>
      </w:pPr>
      <w:r>
        <w:rPr>
          <w:rFonts w:hint="eastAsia" w:ascii="黑体" w:hAnsi="黑体" w:eastAsia="黑体" w:cs="仿宋_GB2312"/>
          <w:b w:val="0"/>
          <w:bCs/>
          <w:i w:val="0"/>
          <w:outline w:val="0"/>
          <w:shadow w:val="0"/>
          <w:emboss w:val="0"/>
          <w:imprint w:val="0"/>
          <w:snapToGrid/>
          <w:vanish w:val="0"/>
          <w:color w:val="000000"/>
          <w:spacing w:val="0"/>
          <w:w w:val="100"/>
          <w:kern w:val="2"/>
          <w:position w:val="0"/>
          <w:sz w:val="32"/>
          <w:szCs w:val="32"/>
          <w:u w:val="none"/>
          <w:lang w:val="en-US" w:eastAsia="zh-CN"/>
        </w:rPr>
        <w:t>第八条</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lang w:val="en-US" w:eastAsia="zh-CN"/>
        </w:rPr>
        <w:t xml:space="preserve"> </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highlight w:val="none"/>
          <w:u w:val="none"/>
        </w:rPr>
        <w:t>对区</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highlight w:val="none"/>
          <w:u w:val="none"/>
          <w:lang w:val="en-US" w:eastAsia="zh-CN"/>
        </w:rPr>
        <w:t>内</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highlight w:val="none"/>
          <w:u w:val="none"/>
        </w:rPr>
        <w:t>现有连锁企业总部给予</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highlight w:val="none"/>
          <w:u w:val="none"/>
          <w:lang w:val="en-US" w:eastAsia="zh-CN"/>
        </w:rPr>
        <w:t>人才</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highlight w:val="none"/>
          <w:u w:val="none"/>
        </w:rPr>
        <w:t>补贴</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highlight w:val="none"/>
          <w:u w:val="none"/>
          <w:lang w:eastAsia="zh-CN"/>
        </w:rPr>
        <w:t>。</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t>对于连锁企业总部年度应纳税工资薪金和劳务报酬达50万元以上的骨干人才，按其</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lang w:val="en-US" w:eastAsia="zh-CN"/>
        </w:rPr>
        <w:t>年度</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t>个人应税工资薪金和劳务报酬的</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lang w:eastAsia="zh-CN"/>
        </w:rPr>
        <w:t>1</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lang w:val="en-US" w:eastAsia="zh-CN"/>
        </w:rPr>
        <w:t>5</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t>%予以奖励。</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lang w:val="en-US" w:eastAsia="zh-CN"/>
        </w:rPr>
        <w:t>奖励金额不超过当年个人地方增效贡献；对</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highlight w:val="none"/>
          <w:u w:val="none"/>
        </w:rPr>
        <w:t>新引进企业通过猎头公司等人力资源服务机构引进高层次人才，按其引才成本的50%</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highlight w:val="none"/>
          <w:u w:val="none"/>
          <w:lang w:val="en-US" w:eastAsia="zh-CN"/>
        </w:rPr>
        <w:t>给予</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highlight w:val="none"/>
          <w:u w:val="none"/>
        </w:rPr>
        <w:t>最高</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highlight w:val="none"/>
          <w:u w:val="none"/>
          <w:lang w:val="en-US" w:eastAsia="zh-CN"/>
        </w:rPr>
        <w:t>10万</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highlight w:val="none"/>
          <w:u w:val="none"/>
        </w:rPr>
        <w:t>元补贴。</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pPr>
      <w:r>
        <w:rPr>
          <w:rFonts w:hint="eastAsia" w:ascii="黑体" w:hAnsi="黑体" w:eastAsia="黑体" w:cs="仿宋_GB2312"/>
          <w:b w:val="0"/>
          <w:bCs/>
          <w:i w:val="0"/>
          <w:outline w:val="0"/>
          <w:shadow w:val="0"/>
          <w:emboss w:val="0"/>
          <w:imprint w:val="0"/>
          <w:snapToGrid/>
          <w:vanish w:val="0"/>
          <w:color w:val="000000"/>
          <w:spacing w:val="0"/>
          <w:w w:val="100"/>
          <w:kern w:val="2"/>
          <w:position w:val="0"/>
          <w:sz w:val="32"/>
          <w:szCs w:val="32"/>
          <w:u w:val="none"/>
        </w:rPr>
        <w:t>第</w:t>
      </w:r>
      <w:r>
        <w:rPr>
          <w:rFonts w:hint="eastAsia" w:ascii="黑体" w:hAnsi="黑体" w:eastAsia="黑体" w:cs="仿宋_GB2312"/>
          <w:b w:val="0"/>
          <w:bCs/>
          <w:i w:val="0"/>
          <w:outline w:val="0"/>
          <w:shadow w:val="0"/>
          <w:emboss w:val="0"/>
          <w:imprint w:val="0"/>
          <w:snapToGrid/>
          <w:vanish w:val="0"/>
          <w:color w:val="000000"/>
          <w:spacing w:val="0"/>
          <w:w w:val="100"/>
          <w:kern w:val="2"/>
          <w:position w:val="0"/>
          <w:sz w:val="32"/>
          <w:szCs w:val="32"/>
          <w:u w:val="none"/>
          <w:lang w:val="en-US" w:eastAsia="zh-CN"/>
        </w:rPr>
        <w:t>九</w:t>
      </w:r>
      <w:r>
        <w:rPr>
          <w:rFonts w:hint="eastAsia" w:ascii="黑体" w:hAnsi="黑体" w:eastAsia="黑体" w:cs="仿宋_GB2312"/>
          <w:b w:val="0"/>
          <w:bCs/>
          <w:i w:val="0"/>
          <w:outline w:val="0"/>
          <w:shadow w:val="0"/>
          <w:emboss w:val="0"/>
          <w:imprint w:val="0"/>
          <w:snapToGrid/>
          <w:vanish w:val="0"/>
          <w:color w:val="000000"/>
          <w:spacing w:val="0"/>
          <w:w w:val="100"/>
          <w:kern w:val="2"/>
          <w:position w:val="0"/>
          <w:sz w:val="32"/>
          <w:szCs w:val="32"/>
          <w:u w:val="none"/>
        </w:rPr>
        <w:t>条</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t xml:space="preserve"> 鼓励连锁企业总部开展直营连锁认定和商业特许经营备案工作，按如下标准给予奖励：</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楷体_GB2312" w:hAnsi="楷体_GB2312" w:eastAsia="楷体_GB2312" w:cs="仿宋_GB2312"/>
          <w:b w:val="0"/>
          <w:i w:val="0"/>
          <w:outline w:val="0"/>
          <w:shadow w:val="0"/>
          <w:emboss w:val="0"/>
          <w:imprint w:val="0"/>
          <w:snapToGrid/>
          <w:vanish w:val="0"/>
          <w:color w:val="000000"/>
          <w:spacing w:val="0"/>
          <w:w w:val="100"/>
          <w:kern w:val="2"/>
          <w:position w:val="0"/>
          <w:sz w:val="32"/>
          <w:szCs w:val="32"/>
          <w:u w:val="none"/>
        </w:rPr>
      </w:pPr>
      <w:r>
        <w:rPr>
          <w:rFonts w:hint="eastAsia" w:ascii="楷体_GB2312" w:hAnsi="楷体_GB2312" w:eastAsia="楷体_GB2312" w:cs="楷体"/>
          <w:b w:val="0"/>
          <w:i w:val="0"/>
          <w:outline w:val="0"/>
          <w:shadow w:val="0"/>
          <w:emboss w:val="0"/>
          <w:imprint w:val="0"/>
          <w:snapToGrid/>
          <w:vanish w:val="0"/>
          <w:color w:val="000000"/>
          <w:spacing w:val="0"/>
          <w:w w:val="100"/>
          <w:kern w:val="2"/>
          <w:position w:val="0"/>
          <w:sz w:val="32"/>
          <w:szCs w:val="32"/>
          <w:u w:val="none"/>
          <w:lang w:eastAsia="zh-CN"/>
        </w:rPr>
        <w:t>（</w:t>
      </w:r>
      <w:r>
        <w:rPr>
          <w:rFonts w:hint="eastAsia" w:ascii="楷体_GB2312" w:hAnsi="楷体_GB2312" w:eastAsia="楷体_GB2312" w:cs="楷体"/>
          <w:b w:val="0"/>
          <w:i w:val="0"/>
          <w:outline w:val="0"/>
          <w:shadow w:val="0"/>
          <w:emboss w:val="0"/>
          <w:imprint w:val="0"/>
          <w:snapToGrid/>
          <w:vanish w:val="0"/>
          <w:color w:val="000000"/>
          <w:spacing w:val="0"/>
          <w:w w:val="100"/>
          <w:kern w:val="2"/>
          <w:position w:val="0"/>
          <w:sz w:val="32"/>
          <w:szCs w:val="32"/>
          <w:u w:val="none"/>
        </w:rPr>
        <w:t>一</w:t>
      </w:r>
      <w:r>
        <w:rPr>
          <w:rFonts w:hint="eastAsia" w:ascii="楷体_GB2312" w:hAnsi="楷体_GB2312" w:eastAsia="楷体_GB2312" w:cs="楷体"/>
          <w:b w:val="0"/>
          <w:i w:val="0"/>
          <w:outline w:val="0"/>
          <w:shadow w:val="0"/>
          <w:emboss w:val="0"/>
          <w:imprint w:val="0"/>
          <w:snapToGrid/>
          <w:vanish w:val="0"/>
          <w:color w:val="000000"/>
          <w:spacing w:val="0"/>
          <w:w w:val="100"/>
          <w:kern w:val="2"/>
          <w:position w:val="0"/>
          <w:sz w:val="32"/>
          <w:szCs w:val="32"/>
          <w:u w:val="none"/>
          <w:lang w:eastAsia="zh-CN"/>
        </w:rPr>
        <w:t>）</w:t>
      </w:r>
      <w:r>
        <w:rPr>
          <w:rFonts w:hint="eastAsia" w:ascii="楷体_GB2312" w:hAnsi="楷体_GB2312" w:eastAsia="楷体_GB2312" w:cs="楷体"/>
          <w:b w:val="0"/>
          <w:i w:val="0"/>
          <w:outline w:val="0"/>
          <w:shadow w:val="0"/>
          <w:emboss w:val="0"/>
          <w:imprint w:val="0"/>
          <w:snapToGrid/>
          <w:vanish w:val="0"/>
          <w:color w:val="000000"/>
          <w:spacing w:val="0"/>
          <w:w w:val="100"/>
          <w:kern w:val="2"/>
          <w:position w:val="0"/>
          <w:sz w:val="32"/>
          <w:szCs w:val="32"/>
          <w:u w:val="none"/>
        </w:rPr>
        <w:t>直营连锁企业总部奖励</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pP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t>1.</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lang w:val="en-US" w:eastAsia="zh-CN"/>
        </w:rPr>
        <w:t>在政策有效期内</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t>通过直营连锁认定的连锁企业总部给予一次性奖励</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lang w:val="en-US" w:eastAsia="zh-CN"/>
        </w:rPr>
        <w:t>10</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t>万元。</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pP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t>2.获得直营连锁认定企业增设南海区外连锁直营店且纳入直营认定范围的，省会城市按每家店一次性奖励</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lang w:val="en-US" w:eastAsia="zh-CN"/>
        </w:rPr>
        <w:t>5</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t>万元，其他城市每家店一次性</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lang w:val="en-US" w:eastAsia="zh-CN"/>
        </w:rPr>
        <w:t>奖励3</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t>万元。</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pP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t>上述企业该项奖励每年总计不超过50万元。</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楷体_GB2312" w:hAnsi="楷体_GB2312" w:eastAsia="楷体_GB2312" w:cs="仿宋_GB2312"/>
          <w:b w:val="0"/>
          <w:i w:val="0"/>
          <w:outline w:val="0"/>
          <w:shadow w:val="0"/>
          <w:emboss w:val="0"/>
          <w:imprint w:val="0"/>
          <w:snapToGrid/>
          <w:vanish w:val="0"/>
          <w:color w:val="000000"/>
          <w:spacing w:val="0"/>
          <w:w w:val="100"/>
          <w:kern w:val="2"/>
          <w:position w:val="0"/>
          <w:sz w:val="32"/>
          <w:szCs w:val="32"/>
          <w:u w:val="none"/>
        </w:rPr>
      </w:pPr>
      <w:r>
        <w:rPr>
          <w:rFonts w:hint="eastAsia" w:ascii="楷体_GB2312" w:hAnsi="楷体_GB2312" w:eastAsia="楷体_GB2312" w:cs="楷体"/>
          <w:b w:val="0"/>
          <w:i w:val="0"/>
          <w:outline w:val="0"/>
          <w:shadow w:val="0"/>
          <w:emboss w:val="0"/>
          <w:imprint w:val="0"/>
          <w:snapToGrid/>
          <w:vanish w:val="0"/>
          <w:color w:val="000000"/>
          <w:spacing w:val="0"/>
          <w:w w:val="100"/>
          <w:kern w:val="2"/>
          <w:position w:val="0"/>
          <w:sz w:val="32"/>
          <w:szCs w:val="32"/>
          <w:u w:val="none"/>
          <w:lang w:eastAsia="zh-CN"/>
        </w:rPr>
        <w:t>（</w:t>
      </w:r>
      <w:r>
        <w:rPr>
          <w:rFonts w:hint="eastAsia" w:ascii="楷体_GB2312" w:hAnsi="楷体_GB2312" w:eastAsia="楷体_GB2312" w:cs="楷体"/>
          <w:b w:val="0"/>
          <w:i w:val="0"/>
          <w:outline w:val="0"/>
          <w:shadow w:val="0"/>
          <w:emboss w:val="0"/>
          <w:imprint w:val="0"/>
          <w:snapToGrid/>
          <w:vanish w:val="0"/>
          <w:color w:val="000000"/>
          <w:spacing w:val="0"/>
          <w:w w:val="100"/>
          <w:kern w:val="2"/>
          <w:position w:val="0"/>
          <w:sz w:val="32"/>
          <w:szCs w:val="32"/>
          <w:u w:val="none"/>
        </w:rPr>
        <w:t>二</w:t>
      </w:r>
      <w:r>
        <w:rPr>
          <w:rFonts w:hint="eastAsia" w:ascii="楷体_GB2312" w:hAnsi="楷体_GB2312" w:eastAsia="楷体_GB2312" w:cs="楷体"/>
          <w:b w:val="0"/>
          <w:i w:val="0"/>
          <w:outline w:val="0"/>
          <w:shadow w:val="0"/>
          <w:emboss w:val="0"/>
          <w:imprint w:val="0"/>
          <w:snapToGrid/>
          <w:vanish w:val="0"/>
          <w:color w:val="000000"/>
          <w:spacing w:val="0"/>
          <w:w w:val="100"/>
          <w:kern w:val="2"/>
          <w:position w:val="0"/>
          <w:sz w:val="32"/>
          <w:szCs w:val="32"/>
          <w:u w:val="none"/>
          <w:lang w:eastAsia="zh-CN"/>
        </w:rPr>
        <w:t>）</w:t>
      </w:r>
      <w:r>
        <w:rPr>
          <w:rFonts w:hint="eastAsia" w:ascii="楷体_GB2312" w:hAnsi="楷体_GB2312" w:eastAsia="楷体_GB2312" w:cs="楷体"/>
          <w:b w:val="0"/>
          <w:i w:val="0"/>
          <w:outline w:val="0"/>
          <w:shadow w:val="0"/>
          <w:emboss w:val="0"/>
          <w:imprint w:val="0"/>
          <w:snapToGrid/>
          <w:vanish w:val="0"/>
          <w:color w:val="000000"/>
          <w:spacing w:val="0"/>
          <w:w w:val="100"/>
          <w:kern w:val="2"/>
          <w:position w:val="0"/>
          <w:sz w:val="32"/>
          <w:szCs w:val="32"/>
          <w:u w:val="none"/>
        </w:rPr>
        <w:t>特许经营企业总部奖励</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宋体" w:hAnsi="宋体" w:eastAsia="仿宋_GB2312" w:cs="仿宋_GB2312"/>
          <w:b w:val="0"/>
          <w:i w:val="0"/>
          <w:outline w:val="0"/>
          <w:shadow w:val="0"/>
          <w:emboss w:val="0"/>
          <w:imprint w:val="0"/>
          <w:snapToGrid/>
          <w:vanish w:val="0"/>
          <w:color w:val="000000"/>
          <w:spacing w:val="6"/>
          <w:w w:val="100"/>
          <w:kern w:val="2"/>
          <w:position w:val="0"/>
          <w:sz w:val="32"/>
          <w:szCs w:val="32"/>
          <w:u w:val="none"/>
        </w:rPr>
      </w:pP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t>1.</w:t>
      </w:r>
      <w:r>
        <w:rPr>
          <w:rFonts w:hint="eastAsia" w:ascii="宋体" w:hAnsi="宋体" w:eastAsia="仿宋_GB2312" w:cs="仿宋_GB2312"/>
          <w:b w:val="0"/>
          <w:i w:val="0"/>
          <w:outline w:val="0"/>
          <w:shadow w:val="0"/>
          <w:emboss w:val="0"/>
          <w:imprint w:val="0"/>
          <w:snapToGrid/>
          <w:vanish w:val="0"/>
          <w:color w:val="000000"/>
          <w:spacing w:val="6"/>
          <w:w w:val="100"/>
          <w:kern w:val="2"/>
          <w:position w:val="0"/>
          <w:sz w:val="32"/>
          <w:szCs w:val="32"/>
          <w:u w:val="none"/>
        </w:rPr>
        <w:t>通过商业特许经营备案的企业总部给予一次性奖励</w:t>
      </w:r>
      <w:r>
        <w:rPr>
          <w:rFonts w:hint="eastAsia" w:ascii="宋体" w:hAnsi="宋体" w:eastAsia="仿宋_GB2312" w:cs="仿宋_GB2312"/>
          <w:b w:val="0"/>
          <w:i w:val="0"/>
          <w:outline w:val="0"/>
          <w:shadow w:val="0"/>
          <w:emboss w:val="0"/>
          <w:imprint w:val="0"/>
          <w:snapToGrid/>
          <w:vanish w:val="0"/>
          <w:color w:val="000000"/>
          <w:spacing w:val="6"/>
          <w:w w:val="100"/>
          <w:kern w:val="2"/>
          <w:position w:val="0"/>
          <w:sz w:val="32"/>
          <w:szCs w:val="32"/>
          <w:u w:val="none"/>
          <w:lang w:val="en-US" w:eastAsia="zh-CN"/>
        </w:rPr>
        <w:t>10</w:t>
      </w:r>
      <w:r>
        <w:rPr>
          <w:rFonts w:hint="eastAsia" w:ascii="宋体" w:hAnsi="宋体" w:eastAsia="仿宋_GB2312" w:cs="仿宋_GB2312"/>
          <w:b w:val="0"/>
          <w:i w:val="0"/>
          <w:outline w:val="0"/>
          <w:shadow w:val="0"/>
          <w:emboss w:val="0"/>
          <w:imprint w:val="0"/>
          <w:snapToGrid/>
          <w:vanish w:val="0"/>
          <w:color w:val="000000"/>
          <w:spacing w:val="6"/>
          <w:w w:val="100"/>
          <w:kern w:val="2"/>
          <w:position w:val="0"/>
          <w:sz w:val="32"/>
          <w:szCs w:val="32"/>
          <w:u w:val="none"/>
        </w:rPr>
        <w:t>万元。</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pP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t>2.获得商业特许经营备案认定的企业总部每年增加</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lang w:val="en-US" w:eastAsia="zh-CN"/>
        </w:rPr>
        <w:t>5—10家</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t>南海区外加盟店一次性奖励</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lang w:val="en-US" w:eastAsia="zh-CN"/>
        </w:rPr>
        <w:t>10</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t>万元，增加</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lang w:eastAsia="zh-CN"/>
        </w:rPr>
        <w:t>1</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lang w:val="en-US" w:eastAsia="zh-CN"/>
        </w:rPr>
        <w:t>1—</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t>30家南海区外加盟店一次性奖励</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lang w:val="en-US" w:eastAsia="zh-CN"/>
        </w:rPr>
        <w:t>15</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t>万元，增加</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lang w:val="en-US" w:eastAsia="zh-CN"/>
        </w:rPr>
        <w:t>30</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t>家以上南海区外加盟店一次性奖励</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lang w:val="en-US" w:eastAsia="zh-CN"/>
        </w:rPr>
        <w:t>20</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t>万元。</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default" w:ascii="宋体" w:hAnsi="宋体" w:eastAsia="仿宋_GB2312" w:cs="仿宋_GB2312"/>
          <w:b w:val="0"/>
          <w:i w:val="0"/>
          <w:outline w:val="0"/>
          <w:shadow w:val="0"/>
          <w:emboss w:val="0"/>
          <w:imprint w:val="0"/>
          <w:snapToGrid/>
          <w:vanish w:val="0"/>
          <w:color w:val="000000"/>
          <w:spacing w:val="0"/>
          <w:w w:val="100"/>
          <w:kern w:val="2"/>
          <w:position w:val="0"/>
          <w:sz w:val="32"/>
          <w:szCs w:val="32"/>
          <w:u w:val="none"/>
          <w:lang w:val="en-US" w:eastAsia="zh-CN"/>
        </w:rPr>
      </w:pP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t>直营连锁认定和商业特许经营备案</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lang w:val="en-US" w:eastAsia="zh-CN"/>
        </w:rPr>
        <w:t>奖励资金规模每年不超过200万元。</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pPr>
      <w:r>
        <w:rPr>
          <w:rFonts w:hint="eastAsia" w:ascii="黑体" w:hAnsi="黑体" w:eastAsia="黑体" w:cs="仿宋_GB2312"/>
          <w:b w:val="0"/>
          <w:bCs/>
          <w:i w:val="0"/>
          <w:outline w:val="0"/>
          <w:shadow w:val="0"/>
          <w:emboss w:val="0"/>
          <w:imprint w:val="0"/>
          <w:snapToGrid/>
          <w:vanish w:val="0"/>
          <w:color w:val="000000"/>
          <w:spacing w:val="0"/>
          <w:w w:val="100"/>
          <w:kern w:val="2"/>
          <w:position w:val="0"/>
          <w:sz w:val="32"/>
          <w:szCs w:val="32"/>
          <w:u w:val="none"/>
        </w:rPr>
        <w:t>第十条</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t xml:space="preserve"> 鼓励连锁企业做强品牌。对我区连锁企业总部获得“中国连锁百强”称号的，每获评一次给予资金奖励</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lang w:val="en-US" w:eastAsia="zh-CN"/>
        </w:rPr>
        <w:t>20</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t>万元</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lang w:eastAsia="zh-CN"/>
        </w:rPr>
        <w:t>；</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t>对获得“广东省连锁经营</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lang w:val="en-US" w:eastAsia="zh-CN"/>
        </w:rPr>
        <w:t>50</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t>强”称号的，每获评一次给予资金奖励</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lang w:val="en-US" w:eastAsia="zh-CN"/>
        </w:rPr>
        <w:t>10</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t>万元；对获得“佛山市或南海区连锁经营10强”称号的，每获评一次给予资金奖励</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lang w:val="en-US" w:eastAsia="zh-CN"/>
        </w:rPr>
        <w:t>5</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t>万元。同一年度同时获得多个称号的，按“就高不重复”原则给予奖励。</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pP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t>对于连锁企业获得中国驰名商标</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lang w:val="en-US" w:eastAsia="zh-CN"/>
        </w:rPr>
        <w:t>行政认定的</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t>给予“一次性资助”，按照《佛山市南海区</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lang w:val="en-US" w:eastAsia="zh-CN"/>
        </w:rPr>
        <w:t>推进质量品牌、标准化和知识产权高质量发展扶持办法</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t>》</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lang w:eastAsia="zh-CN"/>
        </w:rPr>
        <w:t>（</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lang w:val="en-US" w:eastAsia="zh-CN"/>
        </w:rPr>
        <w:t>南府办〔2022〕1号）</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t>执行。</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pP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黑体" w:hAnsi="黑体" w:eastAsia="黑体" w:cs="黑体"/>
          <w:b w:val="0"/>
          <w:i w:val="0"/>
          <w:outline w:val="0"/>
          <w:shadow w:val="0"/>
          <w:emboss w:val="0"/>
          <w:imprint w:val="0"/>
          <w:snapToGrid/>
          <w:vanish w:val="0"/>
          <w:color w:val="000000"/>
          <w:spacing w:val="0"/>
          <w:w w:val="100"/>
          <w:kern w:val="2"/>
          <w:position w:val="0"/>
          <w:sz w:val="32"/>
          <w:szCs w:val="32"/>
          <w:u w:val="none"/>
        </w:rPr>
      </w:pPr>
      <w:r>
        <w:rPr>
          <w:rFonts w:hint="eastAsia" w:ascii="黑体" w:hAnsi="黑体" w:eastAsia="黑体" w:cs="黑体"/>
          <w:b w:val="0"/>
          <w:i w:val="0"/>
          <w:outline w:val="0"/>
          <w:shadow w:val="0"/>
          <w:emboss w:val="0"/>
          <w:imprint w:val="0"/>
          <w:snapToGrid/>
          <w:vanish w:val="0"/>
          <w:color w:val="000000"/>
          <w:spacing w:val="0"/>
          <w:w w:val="100"/>
          <w:kern w:val="2"/>
          <w:position w:val="0"/>
          <w:sz w:val="32"/>
          <w:szCs w:val="32"/>
          <w:u w:val="none"/>
        </w:rPr>
        <w:t>第</w:t>
      </w:r>
      <w:r>
        <w:rPr>
          <w:rFonts w:hint="eastAsia" w:ascii="黑体" w:hAnsi="黑体" w:eastAsia="黑体" w:cs="黑体"/>
          <w:b w:val="0"/>
          <w:i w:val="0"/>
          <w:outline w:val="0"/>
          <w:shadow w:val="0"/>
          <w:emboss w:val="0"/>
          <w:imprint w:val="0"/>
          <w:snapToGrid/>
          <w:vanish w:val="0"/>
          <w:color w:val="000000"/>
          <w:spacing w:val="0"/>
          <w:w w:val="100"/>
          <w:kern w:val="2"/>
          <w:position w:val="0"/>
          <w:sz w:val="32"/>
          <w:szCs w:val="32"/>
          <w:u w:val="none"/>
          <w:lang w:val="en-US" w:eastAsia="zh-CN"/>
        </w:rPr>
        <w:t>三</w:t>
      </w:r>
      <w:r>
        <w:rPr>
          <w:rFonts w:hint="eastAsia" w:ascii="黑体" w:hAnsi="黑体" w:eastAsia="黑体" w:cs="黑体"/>
          <w:b w:val="0"/>
          <w:i w:val="0"/>
          <w:outline w:val="0"/>
          <w:shadow w:val="0"/>
          <w:emboss w:val="0"/>
          <w:imprint w:val="0"/>
          <w:snapToGrid/>
          <w:vanish w:val="0"/>
          <w:color w:val="000000"/>
          <w:spacing w:val="0"/>
          <w:w w:val="100"/>
          <w:kern w:val="2"/>
          <w:position w:val="0"/>
          <w:sz w:val="32"/>
          <w:szCs w:val="32"/>
          <w:u w:val="none"/>
        </w:rPr>
        <w:t xml:space="preserve">章  </w:t>
      </w:r>
      <w:r>
        <w:rPr>
          <w:rFonts w:hint="eastAsia" w:ascii="黑体" w:hAnsi="黑体" w:eastAsia="黑体" w:cs="黑体"/>
          <w:b w:val="0"/>
          <w:i w:val="0"/>
          <w:outline w:val="0"/>
          <w:shadow w:val="0"/>
          <w:emboss w:val="0"/>
          <w:imprint w:val="0"/>
          <w:snapToGrid/>
          <w:vanish w:val="0"/>
          <w:color w:val="000000"/>
          <w:spacing w:val="0"/>
          <w:w w:val="100"/>
          <w:kern w:val="2"/>
          <w:position w:val="0"/>
          <w:sz w:val="32"/>
          <w:szCs w:val="32"/>
          <w:u w:val="none"/>
          <w:lang w:val="en-US" w:eastAsia="zh-CN"/>
        </w:rPr>
        <w:t>支持引进国内外知名品牌</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pPr>
      <w:r>
        <w:rPr>
          <w:rFonts w:hint="eastAsia" w:ascii="黑体" w:hAnsi="黑体" w:eastAsia="黑体" w:cs="仿宋_GB2312"/>
          <w:b w:val="0"/>
          <w:bCs/>
          <w:i w:val="0"/>
          <w:iCs w:val="0"/>
          <w:outline w:val="0"/>
          <w:shadow w:val="0"/>
          <w:emboss w:val="0"/>
          <w:imprint w:val="0"/>
          <w:snapToGrid/>
          <w:vanish w:val="0"/>
          <w:color w:val="000000"/>
          <w:spacing w:val="0"/>
          <w:w w:val="100"/>
          <w:kern w:val="2"/>
          <w:position w:val="0"/>
          <w:sz w:val="32"/>
          <w:szCs w:val="32"/>
          <w:u w:val="none"/>
          <w:lang w:val="en-US" w:eastAsia="zh-CN"/>
        </w:rPr>
        <w:t>第十一条</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lang w:val="en-US" w:eastAsia="zh-CN"/>
        </w:rPr>
        <w:t xml:space="preserve"> 成功引进</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t>国</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lang w:val="en-US" w:eastAsia="zh-CN"/>
        </w:rPr>
        <w:t>内外</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t>知名品牌在南海区开设佛山市首店，对于首店实际投资总额达到</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lang w:val="en-US" w:eastAsia="zh-CN"/>
        </w:rPr>
        <w:t>500</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t>万元以上并签订进驻协议3年以上的，按以下标准予以奖励：</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pP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lang w:eastAsia="zh-CN"/>
        </w:rPr>
        <w:t>（</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t>一</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lang w:eastAsia="zh-CN"/>
        </w:rPr>
        <w:t>）</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t>首店属于国际知名品牌的</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lang w:val="en-US" w:eastAsia="zh-CN"/>
        </w:rPr>
        <w:t>奖励</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lang w:eastAsia="zh-CN"/>
        </w:rPr>
        <w:t>1</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lang w:val="en-US" w:eastAsia="zh-CN"/>
        </w:rPr>
        <w:t>20</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t>万元；</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pP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lang w:eastAsia="zh-CN"/>
        </w:rPr>
        <w:t>（</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t>二</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lang w:eastAsia="zh-CN"/>
        </w:rPr>
        <w:t>）</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t>首店属于国内知名品牌的奖励</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lang w:val="en-US" w:eastAsia="zh-CN"/>
        </w:rPr>
        <w:t>40</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t>万元；</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pP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lang w:eastAsia="zh-CN"/>
        </w:rPr>
        <w:t>（</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t>三</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lang w:eastAsia="zh-CN"/>
        </w:rPr>
        <w:t>）</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t>首店属于其他特色知名品牌的奖励</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lang w:eastAsia="zh-CN"/>
        </w:rPr>
        <w:t>1</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lang w:val="en-US" w:eastAsia="zh-CN"/>
        </w:rPr>
        <w:t>5</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t>万元。</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pP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t>中华老字号、广东老字号品牌开设佛山市首店</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lang w:eastAsia="zh-CN"/>
        </w:rPr>
        <w:t>（</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t>需在南海区办理工商登记和纳税</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lang w:eastAsia="zh-CN"/>
        </w:rPr>
        <w:t>）</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t>并签订进驻协议3年以上的，按以下标准予以奖励：中华老字号佛山首店奖励</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lang w:val="en-US" w:eastAsia="zh-CN"/>
        </w:rPr>
        <w:t>40</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t>万元，广东老字号佛山首店奖励1</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lang w:val="en-US" w:eastAsia="zh-CN"/>
        </w:rPr>
        <w:t>5</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t>万元。</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pP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t>该项奖励由引进该首店的商业</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lang w:val="en-US" w:eastAsia="zh-CN"/>
        </w:rPr>
        <w:t>载体或运营</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t>企业申请，奖金按奖励总金</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lang w:eastAsia="zh-CN"/>
        </w:rPr>
        <w:t>额</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t>40%、30%、30%比例分</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lang w:val="en-US" w:eastAsia="zh-CN"/>
        </w:rPr>
        <w:t>3</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t>年拨付</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lang w:val="en-US" w:eastAsia="zh-CN"/>
        </w:rPr>
      </w:pPr>
      <w:r>
        <w:rPr>
          <w:rFonts w:hint="eastAsia" w:ascii="黑体" w:hAnsi="黑体" w:eastAsia="黑体" w:cs="仿宋_GB2312"/>
          <w:b w:val="0"/>
          <w:i w:val="0"/>
          <w:outline w:val="0"/>
          <w:shadow w:val="0"/>
          <w:emboss w:val="0"/>
          <w:imprint w:val="0"/>
          <w:snapToGrid/>
          <w:vanish w:val="0"/>
          <w:color w:val="000000"/>
          <w:spacing w:val="0"/>
          <w:w w:val="100"/>
          <w:kern w:val="2"/>
          <w:position w:val="0"/>
          <w:sz w:val="32"/>
          <w:szCs w:val="32"/>
          <w:u w:val="none"/>
          <w:lang w:val="en-US" w:eastAsia="zh-CN"/>
        </w:rPr>
        <w:t>第十二条</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lang w:val="en-US" w:eastAsia="zh-CN"/>
        </w:rPr>
        <w:t xml:space="preserve"> 支持引进免税店。对在本区开设1000平方米以上免税店的企业，按照项目固定投资总额的30%给予最高300万的一次性扶持。</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jc w:val="center"/>
        <w:textAlignment w:val="auto"/>
        <w:outlineLvl w:val="9"/>
        <w:rPr>
          <w:rFonts w:hint="eastAsia" w:ascii="黑体" w:hAnsi="黑体" w:eastAsia="黑体" w:cs="黑体"/>
          <w:b w:val="0"/>
          <w:i w:val="0"/>
          <w:outline w:val="0"/>
          <w:shadow w:val="0"/>
          <w:emboss w:val="0"/>
          <w:imprint w:val="0"/>
          <w:snapToGrid/>
          <w:vanish w:val="0"/>
          <w:color w:val="000000"/>
          <w:spacing w:val="0"/>
          <w:w w:val="100"/>
          <w:kern w:val="2"/>
          <w:position w:val="0"/>
          <w:sz w:val="32"/>
          <w:szCs w:val="32"/>
          <w:u w:val="none"/>
          <w:lang w:val="en-US" w:eastAsia="zh-CN"/>
        </w:rPr>
      </w:pPr>
      <w:r>
        <w:rPr>
          <w:rFonts w:hint="eastAsia" w:ascii="黑体" w:hAnsi="黑体" w:eastAsia="黑体" w:cs="黑体"/>
          <w:b w:val="0"/>
          <w:i w:val="0"/>
          <w:outline w:val="0"/>
          <w:shadow w:val="0"/>
          <w:emboss w:val="0"/>
          <w:imprint w:val="0"/>
          <w:snapToGrid/>
          <w:vanish w:val="0"/>
          <w:color w:val="000000"/>
          <w:spacing w:val="0"/>
          <w:w w:val="100"/>
          <w:kern w:val="2"/>
          <w:position w:val="0"/>
          <w:sz w:val="32"/>
          <w:szCs w:val="32"/>
          <w:u w:val="none"/>
          <w:lang w:val="en-US" w:eastAsia="zh-CN"/>
        </w:rPr>
        <w:t>第四章  加强载体、协会引进孵化建设</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lang w:eastAsia="zh-CN"/>
        </w:rPr>
      </w:pPr>
      <w:r>
        <w:rPr>
          <w:rFonts w:hint="eastAsia" w:ascii="黑体" w:hAnsi="黑体" w:eastAsia="黑体" w:cs="仿宋_GB2312"/>
          <w:b w:val="0"/>
          <w:bCs/>
          <w:i w:val="0"/>
          <w:outline w:val="0"/>
          <w:shadow w:val="0"/>
          <w:emboss w:val="0"/>
          <w:imprint w:val="0"/>
          <w:snapToGrid/>
          <w:vanish w:val="0"/>
          <w:color w:val="000000"/>
          <w:spacing w:val="0"/>
          <w:w w:val="100"/>
          <w:kern w:val="2"/>
          <w:position w:val="0"/>
          <w:sz w:val="32"/>
          <w:szCs w:val="32"/>
          <w:u w:val="none"/>
        </w:rPr>
        <w:t>第十</w:t>
      </w:r>
      <w:r>
        <w:rPr>
          <w:rFonts w:hint="eastAsia" w:ascii="黑体" w:hAnsi="黑体" w:eastAsia="黑体" w:cs="仿宋_GB2312"/>
          <w:b w:val="0"/>
          <w:bCs/>
          <w:i w:val="0"/>
          <w:outline w:val="0"/>
          <w:shadow w:val="0"/>
          <w:emboss w:val="0"/>
          <w:imprint w:val="0"/>
          <w:snapToGrid/>
          <w:vanish w:val="0"/>
          <w:color w:val="000000"/>
          <w:spacing w:val="0"/>
          <w:w w:val="100"/>
          <w:kern w:val="2"/>
          <w:position w:val="0"/>
          <w:sz w:val="32"/>
          <w:szCs w:val="32"/>
          <w:u w:val="none"/>
          <w:lang w:val="en-US" w:eastAsia="zh-CN"/>
        </w:rPr>
        <w:t>三条</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lang w:val="en-US" w:eastAsia="zh-CN"/>
        </w:rPr>
        <w:t xml:space="preserve"> </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t>鼓励商业载体、中介机构、协会等企业单位为我区引进优质连锁企业和初创型连锁企业总部，并协助其落地发展</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pP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t>（</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lang w:val="en-US" w:eastAsia="zh-CN"/>
        </w:rPr>
        <w:t>一</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t>）1个自然年度内新引入连锁企业总部不少于1家并经备案，且引入企业合计当年年销售额达</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lang w:val="en-US" w:eastAsia="zh-CN"/>
        </w:rPr>
        <w:t>到</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t>5000万元或</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lang w:val="en-US" w:eastAsia="zh-CN"/>
        </w:rPr>
        <w:t>年度</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t>地方</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lang w:val="en-US" w:eastAsia="zh-CN"/>
        </w:rPr>
        <w:t>增效</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t>贡献部分达到20万元以上的，按引入企业合计年度地方增效贡献部分每20万元给予引进单位</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lang w:val="en-US" w:eastAsia="zh-CN"/>
        </w:rPr>
        <w:t>8</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t>万元奖励。</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lang w:eastAsia="zh-CN"/>
        </w:rPr>
      </w:pP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lang w:eastAsia="zh-CN"/>
        </w:rPr>
        <w:t>（</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lang w:val="en-US" w:eastAsia="zh-CN"/>
        </w:rPr>
        <w:t>二</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lang w:eastAsia="zh-CN"/>
        </w:rPr>
        <w:t>）</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t>新引进的优质连锁企业总部属于重大项目扶持类型的，给予引进单位按每引进一家奖励</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lang w:val="en-US" w:eastAsia="zh-CN"/>
        </w:rPr>
        <w:t>50</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t>万元；新引进的优质连锁企业总部属于年销售额达到5000万元以上或</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lang w:val="en-US" w:eastAsia="zh-CN"/>
        </w:rPr>
        <w:t>年度</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t>地方</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lang w:val="en-US" w:eastAsia="zh-CN"/>
        </w:rPr>
        <w:t>增效</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t>贡献部分达到20万元以上的，给予引进单位按每引进一家奖励</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lang w:val="en-US" w:eastAsia="zh-CN"/>
        </w:rPr>
        <w:t>8</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t>万元</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pP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t>以上奖励可叠加计算</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lang w:eastAsia="zh-CN"/>
        </w:rPr>
        <w:t>，</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lang w:val="en-US" w:eastAsia="zh-CN"/>
        </w:rPr>
        <w:t>每年奖励资金规模不超过200万元。</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pPr>
      <w:r>
        <w:rPr>
          <w:rFonts w:hint="eastAsia" w:ascii="黑体" w:hAnsi="黑体" w:eastAsia="黑体" w:cs="仿宋_GB2312"/>
          <w:b w:val="0"/>
          <w:bCs/>
          <w:i w:val="0"/>
          <w:outline w:val="0"/>
          <w:shadow w:val="0"/>
          <w:emboss w:val="0"/>
          <w:imprint w:val="0"/>
          <w:snapToGrid/>
          <w:vanish w:val="0"/>
          <w:color w:val="000000"/>
          <w:spacing w:val="0"/>
          <w:w w:val="100"/>
          <w:kern w:val="2"/>
          <w:position w:val="0"/>
          <w:sz w:val="32"/>
          <w:szCs w:val="32"/>
          <w:u w:val="none"/>
        </w:rPr>
        <w:t>第十</w:t>
      </w:r>
      <w:r>
        <w:rPr>
          <w:rFonts w:hint="eastAsia" w:ascii="黑体" w:hAnsi="黑体" w:eastAsia="黑体" w:cs="仿宋_GB2312"/>
          <w:b w:val="0"/>
          <w:bCs/>
          <w:i w:val="0"/>
          <w:outline w:val="0"/>
          <w:shadow w:val="0"/>
          <w:emboss w:val="0"/>
          <w:imprint w:val="0"/>
          <w:snapToGrid/>
          <w:vanish w:val="0"/>
          <w:color w:val="000000"/>
          <w:spacing w:val="0"/>
          <w:w w:val="100"/>
          <w:kern w:val="2"/>
          <w:position w:val="0"/>
          <w:sz w:val="32"/>
          <w:szCs w:val="32"/>
          <w:u w:val="none"/>
          <w:lang w:val="en-US" w:eastAsia="zh-CN"/>
        </w:rPr>
        <w:t>四</w:t>
      </w:r>
      <w:r>
        <w:rPr>
          <w:rFonts w:hint="eastAsia" w:ascii="黑体" w:hAnsi="黑体" w:eastAsia="黑体" w:cs="仿宋_GB2312"/>
          <w:b w:val="0"/>
          <w:bCs/>
          <w:i w:val="0"/>
          <w:outline w:val="0"/>
          <w:shadow w:val="0"/>
          <w:emboss w:val="0"/>
          <w:imprint w:val="0"/>
          <w:snapToGrid/>
          <w:vanish w:val="0"/>
          <w:color w:val="000000"/>
          <w:spacing w:val="0"/>
          <w:w w:val="100"/>
          <w:kern w:val="2"/>
          <w:position w:val="0"/>
          <w:sz w:val="32"/>
          <w:szCs w:val="32"/>
          <w:u w:val="none"/>
        </w:rPr>
        <w:t>条</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t xml:space="preserve"> 鼓励和支持参与或组织举办连锁行业专业展会、推介、交流和研讨等具有一定影响力、有助于企业发展提升的行业活动：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pP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lang w:eastAsia="zh-CN"/>
        </w:rPr>
        <w:t>（</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t>一</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lang w:eastAsia="zh-CN"/>
        </w:rPr>
        <w:t>）</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t>对我区连锁企业参加国内外连锁行业</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lang w:val="en-US" w:eastAsia="zh-CN"/>
        </w:rPr>
        <w:t>专业</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t>展会，且属企业自用展位并经</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lang w:val="en-US" w:eastAsia="zh-CN"/>
        </w:rPr>
        <w:t>区经济促进局</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t>备案的，给予参展企业展位费50％的一次性资金扶持。单个企业年度展位费扶持最高不超过2万元。</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pP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lang w:eastAsia="zh-CN"/>
        </w:rPr>
        <w:t>（</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t>二</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lang w:eastAsia="zh-CN"/>
        </w:rPr>
        <w:t>）</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t>对连锁行业协会或中介机构等组织我区10家以</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lang w:val="en-US" w:eastAsia="zh-CN"/>
        </w:rPr>
        <w:t>上</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t>企业抱团参加国内外连锁行业专业展会、推介、交流和研讨等具有一定影响力的行业活动，达到集中展示品牌效果，且事先经区经济促进局备案的，对组织活动的企业或行业协会提供100%配套资金扶持，</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lang w:val="en-US" w:eastAsia="zh-CN"/>
        </w:rPr>
        <w:t>单个申报主体年度资金扶持</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t>最高不超过</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lang w:val="en-US" w:eastAsia="zh-CN"/>
        </w:rPr>
        <w:t>20</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t>万元。</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default" w:ascii="宋体" w:hAnsi="宋体" w:eastAsia="仿宋_GB2312" w:cs="仿宋_GB2312"/>
          <w:b w:val="0"/>
          <w:i w:val="0"/>
          <w:outline w:val="0"/>
          <w:shadow w:val="0"/>
          <w:emboss w:val="0"/>
          <w:imprint w:val="0"/>
          <w:snapToGrid/>
          <w:vanish w:val="0"/>
          <w:color w:val="000000"/>
          <w:spacing w:val="0"/>
          <w:w w:val="100"/>
          <w:kern w:val="2"/>
          <w:position w:val="0"/>
          <w:sz w:val="32"/>
          <w:szCs w:val="32"/>
          <w:u w:val="none"/>
          <w:lang w:eastAsia="zh-CN"/>
        </w:rPr>
      </w:pP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lang w:eastAsia="zh-CN"/>
        </w:rPr>
        <w:t>（</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t>三</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lang w:eastAsia="zh-CN"/>
        </w:rPr>
        <w:t>）</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t>对</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lang w:val="en-US" w:eastAsia="zh-CN"/>
        </w:rPr>
        <w:t>在</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t>我区组织举办经区</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lang w:val="en-US" w:eastAsia="zh-CN"/>
        </w:rPr>
        <w:t>经促部门备案</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t>的国内外连锁行业</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lang w:val="en-US" w:eastAsia="zh-CN"/>
        </w:rPr>
        <w:t>专业</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t>展会或交流活动的承办企业或协会，给予承办方专项经费扶持，扶持额度按承办方实际投入额的50%，且最高不超</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lang w:val="en-US" w:eastAsia="zh-CN"/>
        </w:rPr>
        <w:t>过100</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t>万元。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宋体" w:hAnsi="宋体" w:eastAsia="仿宋_GB2312" w:cs="黑体"/>
          <w:b w:val="0"/>
          <w:i w:val="0"/>
          <w:outline w:val="0"/>
          <w:shadow w:val="0"/>
          <w:emboss w:val="0"/>
          <w:imprint w:val="0"/>
          <w:snapToGrid/>
          <w:vanish w:val="0"/>
          <w:color w:val="000000"/>
          <w:spacing w:val="0"/>
          <w:w w:val="100"/>
          <w:kern w:val="2"/>
          <w:position w:val="0"/>
          <w:sz w:val="32"/>
          <w:szCs w:val="32"/>
          <w:u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jc w:val="center"/>
        <w:textAlignment w:val="auto"/>
        <w:outlineLvl w:val="9"/>
        <w:rPr>
          <w:rFonts w:hint="eastAsia" w:ascii="黑体" w:hAnsi="黑体" w:eastAsia="黑体" w:cs="黑体"/>
          <w:b w:val="0"/>
          <w:i w:val="0"/>
          <w:outline w:val="0"/>
          <w:shadow w:val="0"/>
          <w:emboss w:val="0"/>
          <w:imprint w:val="0"/>
          <w:snapToGrid/>
          <w:vanish w:val="0"/>
          <w:color w:val="000000"/>
          <w:spacing w:val="0"/>
          <w:w w:val="100"/>
          <w:kern w:val="2"/>
          <w:position w:val="0"/>
          <w:sz w:val="32"/>
          <w:szCs w:val="32"/>
          <w:u w:val="none"/>
          <w:lang w:val="en-US" w:eastAsia="zh-CN"/>
        </w:rPr>
      </w:pPr>
      <w:r>
        <w:rPr>
          <w:rFonts w:hint="eastAsia" w:ascii="黑体" w:hAnsi="黑体" w:eastAsia="黑体" w:cs="黑体"/>
          <w:b w:val="0"/>
          <w:i w:val="0"/>
          <w:outline w:val="0"/>
          <w:shadow w:val="0"/>
          <w:emboss w:val="0"/>
          <w:imprint w:val="0"/>
          <w:snapToGrid/>
          <w:vanish w:val="0"/>
          <w:color w:val="000000"/>
          <w:spacing w:val="0"/>
          <w:w w:val="100"/>
          <w:kern w:val="2"/>
          <w:position w:val="0"/>
          <w:sz w:val="32"/>
          <w:szCs w:val="32"/>
          <w:u w:val="none"/>
          <w:lang w:val="en-US" w:eastAsia="zh-CN"/>
        </w:rPr>
        <w:t>第五章 支持商业网点建设升级</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lang w:val="en-US" w:eastAsia="zh-CN"/>
        </w:rPr>
      </w:pPr>
      <w:r>
        <w:rPr>
          <w:rFonts w:hint="eastAsia" w:ascii="黑体" w:hAnsi="黑体" w:eastAsia="黑体" w:cs="仿宋_GB2312"/>
          <w:b w:val="0"/>
          <w:bCs/>
          <w:i w:val="0"/>
          <w:outline w:val="0"/>
          <w:shadow w:val="0"/>
          <w:emboss w:val="0"/>
          <w:imprint w:val="0"/>
          <w:snapToGrid/>
          <w:vanish w:val="0"/>
          <w:color w:val="000000"/>
          <w:spacing w:val="0"/>
          <w:w w:val="100"/>
          <w:kern w:val="2"/>
          <w:position w:val="0"/>
          <w:sz w:val="32"/>
          <w:szCs w:val="32"/>
          <w:u w:val="none"/>
          <w:lang w:val="en-US" w:eastAsia="zh-CN"/>
        </w:rPr>
        <w:t>第十五条</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lang w:val="en-US" w:eastAsia="zh-CN"/>
        </w:rPr>
        <w:t xml:space="preserve"> 鼓励大型商业综合体、邻里中心、商业街区、商旅文融合发展项目新建或改造，对已竣工运营且投资额达到500万元以上的项目，按项目固定投资额的20%给予奖励，单个项目的支持金额最高不超过200万元。涉及重大商业项目新建或改造的，可按照“一事一议”原则，经区政府批准后给予专项扶持。</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lang w:val="en-US" w:eastAsia="zh-CN"/>
        </w:rPr>
      </w:pPr>
      <w:r>
        <w:rPr>
          <w:rFonts w:hint="eastAsia" w:ascii="黑体" w:hAnsi="黑体" w:eastAsia="黑体" w:cs="仿宋_GB2312"/>
          <w:b w:val="0"/>
          <w:bCs/>
          <w:i w:val="0"/>
          <w:outline w:val="0"/>
          <w:shadow w:val="0"/>
          <w:emboss w:val="0"/>
          <w:imprint w:val="0"/>
          <w:snapToGrid/>
          <w:vanish w:val="0"/>
          <w:color w:val="000000"/>
          <w:spacing w:val="0"/>
          <w:w w:val="100"/>
          <w:kern w:val="2"/>
          <w:position w:val="0"/>
          <w:sz w:val="32"/>
          <w:szCs w:val="32"/>
          <w:u w:val="none"/>
          <w:lang w:val="en-US" w:eastAsia="zh-CN"/>
        </w:rPr>
        <w:t>第十六条</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lang w:val="en-US" w:eastAsia="zh-CN"/>
        </w:rPr>
        <w:t xml:space="preserve"> 对新建（新设立）采取自营、品牌联营、统一收银或集中结算模式的购物中心、大型卖场、专业市场，或在政策有效期内新采取统一收银或集中结算模式的现有购物中心、大型卖场、专业市场，其自然年度销售规模于2023年1月1日以后达到5000万元（含）以上的，按统一结算总额1%给予最高不超过同期地方增效贡献的50%进行奖励。</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lang w:val="en-US" w:eastAsia="zh-CN"/>
        </w:rPr>
      </w:pPr>
      <w:r>
        <w:rPr>
          <w:rFonts w:hint="eastAsia" w:ascii="黑体" w:hAnsi="黑体" w:eastAsia="黑体" w:cs="仿宋_GB2312"/>
          <w:b w:val="0"/>
          <w:bCs/>
          <w:i w:val="0"/>
          <w:outline w:val="0"/>
          <w:shadow w:val="0"/>
          <w:emboss w:val="0"/>
          <w:imprint w:val="0"/>
          <w:snapToGrid/>
          <w:vanish w:val="0"/>
          <w:color w:val="000000"/>
          <w:spacing w:val="0"/>
          <w:w w:val="100"/>
          <w:kern w:val="2"/>
          <w:position w:val="0"/>
          <w:sz w:val="32"/>
          <w:szCs w:val="32"/>
          <w:u w:val="none"/>
          <w:lang w:val="en-US" w:eastAsia="zh-CN"/>
        </w:rPr>
        <w:t>第十七条</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lang w:val="en-US" w:eastAsia="zh-CN"/>
        </w:rPr>
        <w:t xml:space="preserve"> 支持消费载体创优评级</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lang w:val="en-US" w:eastAsia="zh-CN"/>
        </w:rPr>
      </w:pP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lang w:val="en-US" w:eastAsia="zh-CN"/>
        </w:rPr>
        <w:t>对新纳入绿色商场创建单位名单的，给予20万元一次性奖励。</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default" w:ascii="宋体" w:hAnsi="宋体" w:eastAsia="仿宋_GB2312" w:cs="仿宋_GB2312"/>
          <w:b w:val="0"/>
          <w:i w:val="0"/>
          <w:outline w:val="0"/>
          <w:shadow w:val="0"/>
          <w:emboss w:val="0"/>
          <w:imprint w:val="0"/>
          <w:snapToGrid/>
          <w:vanish w:val="0"/>
          <w:color w:val="000000"/>
          <w:spacing w:val="0"/>
          <w:w w:val="100"/>
          <w:kern w:val="2"/>
          <w:position w:val="0"/>
          <w:sz w:val="32"/>
          <w:szCs w:val="32"/>
          <w:u w:val="none"/>
          <w:lang w:val="en-US" w:eastAsia="zh-CN"/>
        </w:rPr>
      </w:pP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lang w:val="en-US" w:eastAsia="zh-CN"/>
        </w:rPr>
        <w:t>对新获评省级、市级示范特色步行街（商圈）的，分别给予20万元和10万元的一次性奖励。</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default" w:ascii="宋体" w:hAnsi="宋体" w:eastAsia="仿宋_GB2312" w:cs="仿宋_GB2312"/>
          <w:b w:val="0"/>
          <w:i w:val="0"/>
          <w:outline w:val="0"/>
          <w:shadow w:val="0"/>
          <w:emboss w:val="0"/>
          <w:imprint w:val="0"/>
          <w:snapToGrid/>
          <w:vanish w:val="0"/>
          <w:color w:val="000000"/>
          <w:spacing w:val="0"/>
          <w:w w:val="100"/>
          <w:kern w:val="2"/>
          <w:position w:val="0"/>
          <w:sz w:val="32"/>
          <w:szCs w:val="32"/>
          <w:u w:val="none"/>
          <w:lang w:val="en-US" w:eastAsia="zh-CN"/>
        </w:rPr>
      </w:pP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lang w:val="en-US" w:eastAsia="zh-CN"/>
        </w:rPr>
        <w:t>对新获评国家、省级夜间文旅消费集聚区的，分别给予30万元和20万元的一次性奖励。</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default" w:ascii="宋体" w:hAnsi="宋体" w:eastAsia="仿宋_GB2312" w:cs="仿宋_GB2312"/>
          <w:b w:val="0"/>
          <w:i w:val="0"/>
          <w:outline w:val="0"/>
          <w:shadow w:val="0"/>
          <w:emboss w:val="0"/>
          <w:imprint w:val="0"/>
          <w:snapToGrid/>
          <w:vanish w:val="0"/>
          <w:color w:val="000000"/>
          <w:spacing w:val="0"/>
          <w:w w:val="100"/>
          <w:kern w:val="2"/>
          <w:position w:val="0"/>
          <w:sz w:val="32"/>
          <w:szCs w:val="32"/>
          <w:u w:val="none"/>
          <w:lang w:val="en-US" w:eastAsia="zh-CN"/>
        </w:rPr>
      </w:pP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lang w:val="en-US" w:eastAsia="zh-CN"/>
        </w:rPr>
        <w:t>对新获评全国示范智慧商圈、智慧商店的，分别给予30万元和5万元的一次性奖励。</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default" w:ascii="宋体" w:hAnsi="宋体" w:eastAsia="仿宋_GB2312" w:cs="仿宋_GB2312"/>
          <w:b w:val="0"/>
          <w:i w:val="0"/>
          <w:outline w:val="0"/>
          <w:shadow w:val="0"/>
          <w:emboss w:val="0"/>
          <w:imprint w:val="0"/>
          <w:snapToGrid/>
          <w:vanish w:val="0"/>
          <w:color w:val="000000"/>
          <w:spacing w:val="0"/>
          <w:w w:val="100"/>
          <w:kern w:val="2"/>
          <w:position w:val="0"/>
          <w:sz w:val="32"/>
          <w:szCs w:val="32"/>
          <w:u w:val="none"/>
          <w:lang w:val="en-US" w:eastAsia="zh-CN"/>
        </w:rPr>
      </w:pP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lang w:val="en-US" w:eastAsia="zh-CN"/>
        </w:rPr>
        <w:t>支持消费载体创优评级奖励资金总规模不超过100万元，超出部分按比例缩减。若单个单位获评以上多个称号，可叠加享受奖励。</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default" w:ascii="宋体" w:hAnsi="宋体" w:eastAsia="仿宋_GB2312" w:cs="仿宋_GB2312"/>
          <w:b w:val="0"/>
          <w:i w:val="0"/>
          <w:outline w:val="0"/>
          <w:shadow w:val="0"/>
          <w:emboss w:val="0"/>
          <w:imprint w:val="0"/>
          <w:snapToGrid/>
          <w:vanish w:val="0"/>
          <w:color w:val="000000"/>
          <w:spacing w:val="0"/>
          <w:w w:val="100"/>
          <w:kern w:val="2"/>
          <w:position w:val="0"/>
          <w:sz w:val="32"/>
          <w:szCs w:val="32"/>
          <w:u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jc w:val="center"/>
        <w:textAlignment w:val="auto"/>
        <w:outlineLvl w:val="9"/>
        <w:rPr>
          <w:rFonts w:hint="eastAsia" w:ascii="黑体" w:hAnsi="黑体" w:eastAsia="黑体" w:cs="黑体"/>
          <w:b w:val="0"/>
          <w:bCs w:val="0"/>
          <w:i w:val="0"/>
          <w:outline w:val="0"/>
          <w:shadow w:val="0"/>
          <w:emboss w:val="0"/>
          <w:imprint w:val="0"/>
          <w:snapToGrid/>
          <w:vanish w:val="0"/>
          <w:color w:val="000000"/>
          <w:spacing w:val="0"/>
          <w:w w:val="100"/>
          <w:kern w:val="2"/>
          <w:position w:val="0"/>
          <w:sz w:val="32"/>
          <w:szCs w:val="32"/>
          <w:u w:val="none"/>
        </w:rPr>
      </w:pPr>
      <w:r>
        <w:rPr>
          <w:rFonts w:hint="eastAsia" w:ascii="黑体" w:hAnsi="黑体" w:eastAsia="黑体" w:cs="黑体"/>
          <w:b w:val="0"/>
          <w:bCs w:val="0"/>
          <w:i w:val="0"/>
          <w:outline w:val="0"/>
          <w:shadow w:val="0"/>
          <w:emboss w:val="0"/>
          <w:imprint w:val="0"/>
          <w:snapToGrid/>
          <w:vanish w:val="0"/>
          <w:color w:val="000000"/>
          <w:spacing w:val="0"/>
          <w:w w:val="100"/>
          <w:kern w:val="2"/>
          <w:position w:val="0"/>
          <w:sz w:val="32"/>
          <w:szCs w:val="32"/>
          <w:u w:val="none"/>
          <w:lang w:val="en-US" w:eastAsia="zh-CN"/>
        </w:rPr>
        <w:t xml:space="preserve">第六章  </w:t>
      </w:r>
      <w:r>
        <w:rPr>
          <w:rFonts w:hint="eastAsia" w:ascii="黑体" w:hAnsi="黑体" w:eastAsia="黑体" w:cs="黑体"/>
          <w:b w:val="0"/>
          <w:bCs w:val="0"/>
          <w:i w:val="0"/>
          <w:outline w:val="0"/>
          <w:shadow w:val="0"/>
          <w:emboss w:val="0"/>
          <w:imprint w:val="0"/>
          <w:snapToGrid/>
          <w:vanish w:val="0"/>
          <w:color w:val="000000"/>
          <w:spacing w:val="0"/>
          <w:w w:val="100"/>
          <w:kern w:val="2"/>
          <w:position w:val="0"/>
          <w:sz w:val="32"/>
          <w:szCs w:val="32"/>
          <w:u w:val="none"/>
        </w:rPr>
        <w:t>支持开展各类促消费活动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lang w:val="en-US" w:eastAsia="zh-CN"/>
        </w:rPr>
      </w:pPr>
      <w:r>
        <w:rPr>
          <w:rFonts w:hint="eastAsia" w:ascii="黑体" w:hAnsi="黑体" w:eastAsia="黑体" w:cs="仿宋_GB2312"/>
          <w:b w:val="0"/>
          <w:bCs/>
          <w:i w:val="0"/>
          <w:outline w:val="0"/>
          <w:shadow w:val="0"/>
          <w:emboss w:val="0"/>
          <w:imprint w:val="0"/>
          <w:snapToGrid/>
          <w:vanish w:val="0"/>
          <w:color w:val="000000"/>
          <w:spacing w:val="0"/>
          <w:w w:val="100"/>
          <w:kern w:val="2"/>
          <w:position w:val="0"/>
          <w:sz w:val="32"/>
          <w:szCs w:val="32"/>
          <w:u w:val="none"/>
        </w:rPr>
        <w:t>第</w:t>
      </w:r>
      <w:r>
        <w:rPr>
          <w:rFonts w:hint="eastAsia" w:ascii="黑体" w:hAnsi="黑体" w:eastAsia="黑体" w:cs="仿宋_GB2312"/>
          <w:b w:val="0"/>
          <w:bCs/>
          <w:i w:val="0"/>
          <w:outline w:val="0"/>
          <w:shadow w:val="0"/>
          <w:emboss w:val="0"/>
          <w:imprint w:val="0"/>
          <w:snapToGrid/>
          <w:vanish w:val="0"/>
          <w:color w:val="000000"/>
          <w:spacing w:val="0"/>
          <w:w w:val="100"/>
          <w:kern w:val="2"/>
          <w:position w:val="0"/>
          <w:sz w:val="32"/>
          <w:szCs w:val="32"/>
          <w:u w:val="none"/>
          <w:lang w:val="en-US" w:eastAsia="zh-CN"/>
        </w:rPr>
        <w:t>十八</w:t>
      </w:r>
      <w:r>
        <w:rPr>
          <w:rFonts w:hint="eastAsia" w:ascii="黑体" w:hAnsi="黑体" w:eastAsia="黑体" w:cs="仿宋_GB2312"/>
          <w:b w:val="0"/>
          <w:bCs/>
          <w:i w:val="0"/>
          <w:outline w:val="0"/>
          <w:shadow w:val="0"/>
          <w:emboss w:val="0"/>
          <w:imprint w:val="0"/>
          <w:snapToGrid/>
          <w:vanish w:val="0"/>
          <w:color w:val="000000"/>
          <w:spacing w:val="0"/>
          <w:w w:val="100"/>
          <w:kern w:val="2"/>
          <w:position w:val="0"/>
          <w:sz w:val="32"/>
          <w:szCs w:val="32"/>
          <w:u w:val="none"/>
        </w:rPr>
        <w:t>条</w:t>
      </w:r>
      <w:r>
        <w:rPr>
          <w:rFonts w:hint="eastAsia" w:ascii="宋体" w:hAnsi="宋体" w:eastAsia="仿宋_GB2312" w:cs="仿宋_GB2312"/>
          <w:b w:val="0"/>
          <w:bCs/>
          <w:i w:val="0"/>
          <w:outline w:val="0"/>
          <w:shadow w:val="0"/>
          <w:emboss w:val="0"/>
          <w:imprint w:val="0"/>
          <w:snapToGrid/>
          <w:vanish w:val="0"/>
          <w:color w:val="000000"/>
          <w:spacing w:val="0"/>
          <w:w w:val="100"/>
          <w:kern w:val="2"/>
          <w:position w:val="0"/>
          <w:sz w:val="32"/>
          <w:szCs w:val="32"/>
          <w:u w:val="none"/>
          <w:lang w:val="en-US" w:eastAsia="zh-CN"/>
        </w:rPr>
        <w:t xml:space="preserve"> </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lang w:val="en-US" w:eastAsia="zh-CN"/>
        </w:rPr>
        <w:t>对当年在本区举办促消费活动，且其年度经区经促局登记备案的促消费活动费用超过50万元的商业载体，按照活动实际投入的20%给予一次性奖励，最高不超过30万元。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default" w:ascii="宋体" w:hAnsi="宋体" w:eastAsia="仿宋_GB2312" w:cs="仿宋_GB2312"/>
          <w:b w:val="0"/>
          <w:i w:val="0"/>
          <w:outline w:val="0"/>
          <w:shadow w:val="0"/>
          <w:emboss w:val="0"/>
          <w:imprint w:val="0"/>
          <w:snapToGrid/>
          <w:vanish w:val="0"/>
          <w:color w:val="000000"/>
          <w:spacing w:val="0"/>
          <w:w w:val="100"/>
          <w:kern w:val="2"/>
          <w:position w:val="0"/>
          <w:sz w:val="32"/>
          <w:szCs w:val="32"/>
          <w:u w:val="none"/>
          <w:lang w:val="en-US" w:eastAsia="zh-CN"/>
        </w:rPr>
      </w:pPr>
      <w:r>
        <w:rPr>
          <w:rFonts w:hint="eastAsia" w:ascii="黑体" w:hAnsi="黑体" w:eastAsia="黑体" w:cs="仿宋_GB2312"/>
          <w:b w:val="0"/>
          <w:bCs/>
          <w:i w:val="0"/>
          <w:outline w:val="0"/>
          <w:shadow w:val="0"/>
          <w:emboss w:val="0"/>
          <w:imprint w:val="0"/>
          <w:snapToGrid/>
          <w:vanish w:val="0"/>
          <w:color w:val="000000"/>
          <w:spacing w:val="0"/>
          <w:w w:val="100"/>
          <w:kern w:val="2"/>
          <w:position w:val="0"/>
          <w:sz w:val="32"/>
          <w:szCs w:val="32"/>
          <w:u w:val="none"/>
          <w:lang w:val="en-US" w:eastAsia="zh-CN"/>
        </w:rPr>
        <w:t>第十九条</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lang w:val="en-US" w:eastAsia="zh-CN"/>
        </w:rPr>
        <w:t xml:space="preserve"> 鼓励相关单位组织开展购买汽车、家具、家电等大宗商品跨行业联动促消费活动，对在区经促局完成报备并按质量完成活动的相关承办机构，按活动实际投入的50%给予支持，最高不超过30万元。如市级部门有同类型政策，市区两级累计扶持资金最高不超过活动实际投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lang w:val="en-US" w:eastAsia="zh-CN"/>
        </w:rPr>
      </w:pPr>
      <w:r>
        <w:rPr>
          <w:rFonts w:hint="eastAsia" w:ascii="黑体" w:hAnsi="黑体" w:eastAsia="黑体" w:cs="仿宋_GB2312"/>
          <w:b w:val="0"/>
          <w:bCs/>
          <w:i w:val="0"/>
          <w:outline w:val="0"/>
          <w:shadow w:val="0"/>
          <w:emboss w:val="0"/>
          <w:imprint w:val="0"/>
          <w:snapToGrid/>
          <w:vanish w:val="0"/>
          <w:color w:val="000000"/>
          <w:spacing w:val="0"/>
          <w:w w:val="100"/>
          <w:kern w:val="2"/>
          <w:position w:val="0"/>
          <w:sz w:val="32"/>
          <w:szCs w:val="32"/>
          <w:u w:val="none"/>
          <w:lang w:val="en-US" w:eastAsia="zh-CN"/>
        </w:rPr>
        <w:t>第二十条</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lang w:val="en-US" w:eastAsia="zh-CN"/>
        </w:rPr>
        <w:t xml:space="preserve"> 对通过我区民政部门批准设立的商贸领域行业协会，组织相关会员开展经区经促局登记备案的促消费活动，按照每家1000元标准给予行业协会补贴，单个协会每年最高不超过20万元。</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default"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pPr>
      <w:r>
        <w:rPr>
          <w:rFonts w:hint="eastAsia" w:ascii="黑体" w:hAnsi="黑体" w:eastAsia="黑体" w:cs="仿宋_GB2312"/>
          <w:b w:val="0"/>
          <w:bCs/>
          <w:i w:val="0"/>
          <w:outline w:val="0"/>
          <w:shadow w:val="0"/>
          <w:emboss w:val="0"/>
          <w:imprint w:val="0"/>
          <w:snapToGrid/>
          <w:vanish w:val="0"/>
          <w:color w:val="000000"/>
          <w:spacing w:val="0"/>
          <w:w w:val="100"/>
          <w:kern w:val="2"/>
          <w:position w:val="0"/>
          <w:sz w:val="32"/>
          <w:szCs w:val="32"/>
          <w:u w:val="none"/>
          <w:lang w:val="en-US" w:eastAsia="zh-CN"/>
        </w:rPr>
        <w:t>第二十一条</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lang w:val="en-US" w:eastAsia="zh-CN"/>
        </w:rPr>
        <w:t xml:space="preserve"> 支持举办国内外知名品牌快闪、新品发布、时尚秀场和国际消费品展示活动，对单次活动投入（宣传、布展、场地费用）在30万元以上的品牌方或运营方，按其实际投入的20%给予一次性扶持，单次活动最高不超过20万元。</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jc w:val="center"/>
        <w:textAlignment w:val="auto"/>
        <w:outlineLvl w:val="9"/>
        <w:rPr>
          <w:rFonts w:hint="eastAsia" w:ascii="黑体" w:hAnsi="黑体" w:eastAsia="黑体" w:cs="黑体"/>
          <w:b w:val="0"/>
          <w:i w:val="0"/>
          <w:outline w:val="0"/>
          <w:shadow w:val="0"/>
          <w:emboss w:val="0"/>
          <w:imprint w:val="0"/>
          <w:snapToGrid/>
          <w:vanish w:val="0"/>
          <w:color w:val="000000"/>
          <w:spacing w:val="0"/>
          <w:w w:val="100"/>
          <w:kern w:val="2"/>
          <w:position w:val="0"/>
          <w:sz w:val="32"/>
          <w:szCs w:val="32"/>
          <w:u w:val="none"/>
        </w:rPr>
      </w:pPr>
      <w:r>
        <w:rPr>
          <w:rFonts w:hint="eastAsia" w:ascii="黑体" w:hAnsi="黑体" w:eastAsia="黑体" w:cs="黑体"/>
          <w:b w:val="0"/>
          <w:i w:val="0"/>
          <w:outline w:val="0"/>
          <w:shadow w:val="0"/>
          <w:emboss w:val="0"/>
          <w:imprint w:val="0"/>
          <w:snapToGrid/>
          <w:vanish w:val="0"/>
          <w:color w:val="000000"/>
          <w:spacing w:val="0"/>
          <w:w w:val="100"/>
          <w:kern w:val="2"/>
          <w:position w:val="0"/>
          <w:sz w:val="32"/>
          <w:szCs w:val="32"/>
          <w:u w:val="none"/>
          <w:lang w:val="en-US" w:eastAsia="zh-CN"/>
        </w:rPr>
        <w:t>第七章</w:t>
      </w:r>
      <w:r>
        <w:rPr>
          <w:rFonts w:hint="eastAsia" w:ascii="黑体" w:hAnsi="黑体" w:eastAsia="黑体" w:cs="黑体"/>
          <w:b w:val="0"/>
          <w:i w:val="0"/>
          <w:outline w:val="0"/>
          <w:shadow w:val="0"/>
          <w:emboss w:val="0"/>
          <w:imprint w:val="0"/>
          <w:snapToGrid/>
          <w:vanish w:val="0"/>
          <w:color w:val="000000"/>
          <w:spacing w:val="0"/>
          <w:w w:val="100"/>
          <w:kern w:val="2"/>
          <w:position w:val="0"/>
          <w:sz w:val="32"/>
          <w:szCs w:val="32"/>
          <w:u w:val="none"/>
        </w:rPr>
        <w:t xml:space="preserve"> </w:t>
      </w:r>
      <w:r>
        <w:rPr>
          <w:rFonts w:hint="eastAsia" w:ascii="黑体" w:hAnsi="黑体" w:eastAsia="黑体" w:cs="黑体"/>
          <w:b w:val="0"/>
          <w:i w:val="0"/>
          <w:outline w:val="0"/>
          <w:shadow w:val="0"/>
          <w:emboss w:val="0"/>
          <w:imprint w:val="0"/>
          <w:snapToGrid/>
          <w:vanish w:val="0"/>
          <w:color w:val="000000"/>
          <w:spacing w:val="0"/>
          <w:w w:val="100"/>
          <w:kern w:val="2"/>
          <w:position w:val="0"/>
          <w:sz w:val="32"/>
          <w:szCs w:val="32"/>
          <w:u w:val="none"/>
          <w:lang w:val="en-US" w:eastAsia="zh-CN"/>
        </w:rPr>
        <w:t xml:space="preserve"> </w:t>
      </w:r>
      <w:r>
        <w:rPr>
          <w:rFonts w:hint="eastAsia" w:ascii="黑体" w:hAnsi="黑体" w:eastAsia="黑体" w:cs="黑体"/>
          <w:b w:val="0"/>
          <w:i w:val="0"/>
          <w:outline w:val="0"/>
          <w:shadow w:val="0"/>
          <w:emboss w:val="0"/>
          <w:imprint w:val="0"/>
          <w:snapToGrid/>
          <w:vanish w:val="0"/>
          <w:color w:val="000000"/>
          <w:spacing w:val="0"/>
          <w:w w:val="100"/>
          <w:kern w:val="2"/>
          <w:position w:val="0"/>
          <w:sz w:val="32"/>
          <w:szCs w:val="32"/>
          <w:u w:val="none"/>
        </w:rPr>
        <w:t>附则</w:t>
      </w:r>
    </w:p>
    <w:p>
      <w:pPr>
        <w:keepNext w:val="0"/>
        <w:keepLines w:val="0"/>
        <w:pageBreakBefore w:val="0"/>
        <w:widowControl w:val="0"/>
        <w:numPr>
          <w:ilvl w:val="0"/>
          <w:numId w:val="0"/>
        </w:numPr>
        <w:tabs>
          <w:tab w:val="left" w:pos="1108"/>
        </w:tabs>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default" w:ascii="宋体" w:hAnsi="宋体" w:eastAsia="仿宋_GB2312" w:cs="仿宋_GB2312"/>
          <w:b w:val="0"/>
          <w:i w:val="0"/>
          <w:outline w:val="0"/>
          <w:shadow w:val="0"/>
          <w:emboss w:val="0"/>
          <w:imprint w:val="0"/>
          <w:snapToGrid/>
          <w:vanish w:val="0"/>
          <w:color w:val="000000"/>
          <w:spacing w:val="0"/>
          <w:w w:val="100"/>
          <w:kern w:val="2"/>
          <w:position w:val="0"/>
          <w:sz w:val="32"/>
          <w:szCs w:val="32"/>
          <w:u w:val="none"/>
          <w:lang w:val="en-US" w:eastAsia="zh-CN"/>
        </w:rPr>
      </w:pPr>
      <w:r>
        <w:rPr>
          <w:rFonts w:hint="eastAsia" w:ascii="黑体" w:hAnsi="黑体" w:eastAsia="黑体" w:cs="仿宋_GB2312"/>
          <w:b w:val="0"/>
          <w:bCs/>
          <w:i w:val="0"/>
          <w:outline w:val="0"/>
          <w:shadow w:val="0"/>
          <w:emboss w:val="0"/>
          <w:imprint w:val="0"/>
          <w:snapToGrid/>
          <w:vanish w:val="0"/>
          <w:color w:val="000000"/>
          <w:spacing w:val="0"/>
          <w:w w:val="100"/>
          <w:kern w:val="2"/>
          <w:position w:val="0"/>
          <w:sz w:val="32"/>
          <w:szCs w:val="32"/>
          <w:u w:val="none"/>
          <w:lang w:val="en-US" w:eastAsia="zh-CN"/>
        </w:rPr>
        <w:t>第二十二条</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lang w:val="en-US" w:eastAsia="zh-CN"/>
        </w:rPr>
        <w:t xml:space="preserve"> 本办法涉及的“达到”“以上”“不超过”的数额均包含本数。</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default" w:ascii="宋体" w:hAnsi="宋体" w:eastAsia="仿宋_GB2312" w:cs="仿宋_GB2312"/>
          <w:b w:val="0"/>
          <w:i w:val="0"/>
          <w:outline w:val="0"/>
          <w:shadow w:val="0"/>
          <w:emboss w:val="0"/>
          <w:imprint w:val="0"/>
          <w:snapToGrid/>
          <w:vanish w:val="0"/>
          <w:color w:val="000000"/>
          <w:spacing w:val="0"/>
          <w:w w:val="100"/>
          <w:kern w:val="2"/>
          <w:position w:val="0"/>
          <w:sz w:val="32"/>
          <w:szCs w:val="32"/>
          <w:u w:val="none"/>
          <w:lang w:val="en-US"/>
        </w:rPr>
      </w:pPr>
      <w:r>
        <w:rPr>
          <w:rFonts w:hint="eastAsia" w:ascii="黑体" w:hAnsi="黑体" w:eastAsia="黑体" w:cs="仿宋_GB2312"/>
          <w:b w:val="0"/>
          <w:bCs/>
          <w:i w:val="0"/>
          <w:outline w:val="0"/>
          <w:shadow w:val="0"/>
          <w:emboss w:val="0"/>
          <w:imprint w:val="0"/>
          <w:snapToGrid/>
          <w:vanish w:val="0"/>
          <w:color w:val="000000"/>
          <w:spacing w:val="0"/>
          <w:w w:val="100"/>
          <w:kern w:val="2"/>
          <w:position w:val="0"/>
          <w:sz w:val="32"/>
          <w:szCs w:val="32"/>
          <w:u w:val="none"/>
          <w:lang w:val="en-US" w:eastAsia="zh-CN"/>
        </w:rPr>
        <w:t>第二十三条</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lang w:val="en-US" w:eastAsia="zh-CN"/>
        </w:rPr>
        <w:t xml:space="preserve"> </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t>本办法所指新设立或新引进的企业是指自20</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lang w:val="en-US" w:eastAsia="zh-CN"/>
        </w:rPr>
        <w:t>23年7月1</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t>日后在我区办理工商注册和税务登记的企业。</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lang w:val="en-US" w:eastAsia="zh-CN"/>
        </w:rPr>
        <w:t>新设立（新引进）连锁</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t>企业</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lang w:val="en-US" w:eastAsia="zh-CN"/>
        </w:rPr>
        <w:t>总部</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t>需承诺从开办之日起10年内不得迁离南海区，</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lang w:val="en-US" w:eastAsia="zh-CN"/>
        </w:rPr>
        <w:t>否则退回所有扶持奖励资金，包括自扶持资金发放之日起按当期贷款市场报价利率（LPR）所产生的利息。本办法所指直营连锁认定、特许经营备案、称号获评均指自2023年7月1日后完成方可纳入奖励范围。</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default" w:ascii="宋体" w:hAnsi="宋体" w:eastAsia="仿宋_GB2312" w:cs="仿宋_GB2312"/>
          <w:b w:val="0"/>
          <w:i w:val="0"/>
          <w:outline w:val="0"/>
          <w:shadow w:val="0"/>
          <w:emboss w:val="0"/>
          <w:imprint w:val="0"/>
          <w:snapToGrid/>
          <w:vanish w:val="0"/>
          <w:color w:val="000000"/>
          <w:spacing w:val="0"/>
          <w:w w:val="100"/>
          <w:kern w:val="2"/>
          <w:position w:val="0"/>
          <w:sz w:val="32"/>
          <w:szCs w:val="32"/>
          <w:u w:val="none"/>
          <w:lang w:val="en-US" w:eastAsia="zh-CN"/>
        </w:rPr>
      </w:pPr>
      <w:r>
        <w:rPr>
          <w:rFonts w:hint="eastAsia" w:ascii="黑体" w:hAnsi="黑体" w:eastAsia="黑体" w:cs="仿宋_GB2312"/>
          <w:b w:val="0"/>
          <w:bCs/>
          <w:i w:val="0"/>
          <w:outline w:val="0"/>
          <w:shadow w:val="0"/>
          <w:emboss w:val="0"/>
          <w:imprint w:val="0"/>
          <w:snapToGrid/>
          <w:vanish w:val="0"/>
          <w:color w:val="000000"/>
          <w:spacing w:val="0"/>
          <w:w w:val="100"/>
          <w:kern w:val="2"/>
          <w:position w:val="0"/>
          <w:sz w:val="32"/>
          <w:szCs w:val="32"/>
          <w:u w:val="none"/>
          <w:lang w:val="en-US" w:eastAsia="zh-CN"/>
        </w:rPr>
        <w:t>第二十四条</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lang w:val="en-US" w:eastAsia="zh-CN"/>
        </w:rPr>
        <w:t xml:space="preserve"> 本办法所指项目固定投资总额包含建安工程、设备购置费用，土地购置、非生产性交通运输设备费用不纳入固定投资总额。扶持对象需提供具有资质第三方审核报告，区经促局可根据项目需要委托具有资质的第三方出具审核报告，如存在差异的以区经促局委托出具报告为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pPr>
      <w:r>
        <w:rPr>
          <w:rFonts w:hint="eastAsia" w:ascii="黑体" w:hAnsi="黑体" w:eastAsia="黑体" w:cs="仿宋_GB2312"/>
          <w:b w:val="0"/>
          <w:bCs/>
          <w:i w:val="0"/>
          <w:outline w:val="0"/>
          <w:shadow w:val="0"/>
          <w:emboss w:val="0"/>
          <w:imprint w:val="0"/>
          <w:snapToGrid/>
          <w:vanish w:val="0"/>
          <w:color w:val="000000"/>
          <w:spacing w:val="0"/>
          <w:w w:val="100"/>
          <w:kern w:val="2"/>
          <w:position w:val="0"/>
          <w:sz w:val="32"/>
          <w:szCs w:val="32"/>
          <w:u w:val="none"/>
        </w:rPr>
        <w:t>第二十</w:t>
      </w:r>
      <w:r>
        <w:rPr>
          <w:rFonts w:hint="eastAsia" w:ascii="黑体" w:hAnsi="黑体" w:eastAsia="黑体" w:cs="仿宋_GB2312"/>
          <w:b w:val="0"/>
          <w:bCs/>
          <w:i w:val="0"/>
          <w:outline w:val="0"/>
          <w:shadow w:val="0"/>
          <w:emboss w:val="0"/>
          <w:imprint w:val="0"/>
          <w:snapToGrid/>
          <w:vanish w:val="0"/>
          <w:color w:val="000000"/>
          <w:spacing w:val="0"/>
          <w:w w:val="100"/>
          <w:kern w:val="2"/>
          <w:position w:val="0"/>
          <w:sz w:val="32"/>
          <w:szCs w:val="32"/>
          <w:u w:val="none"/>
          <w:lang w:val="en-US" w:eastAsia="zh-CN"/>
        </w:rPr>
        <w:t>五</w:t>
      </w:r>
      <w:r>
        <w:rPr>
          <w:rFonts w:hint="eastAsia" w:ascii="黑体" w:hAnsi="黑体" w:eastAsia="黑体" w:cs="仿宋_GB2312"/>
          <w:b w:val="0"/>
          <w:bCs/>
          <w:i w:val="0"/>
          <w:outline w:val="0"/>
          <w:shadow w:val="0"/>
          <w:emboss w:val="0"/>
          <w:imprint w:val="0"/>
          <w:snapToGrid/>
          <w:vanish w:val="0"/>
          <w:color w:val="000000"/>
          <w:spacing w:val="0"/>
          <w:w w:val="100"/>
          <w:kern w:val="2"/>
          <w:position w:val="0"/>
          <w:sz w:val="32"/>
          <w:szCs w:val="32"/>
          <w:u w:val="none"/>
        </w:rPr>
        <w:t>条</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shd w:val="clear" w:color="auto" w:fill="auto"/>
          <w:lang w:val="en-US" w:eastAsia="zh-CN"/>
        </w:rPr>
        <w:t xml:space="preserve"> </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shd w:val="clear" w:color="auto" w:fill="auto"/>
        </w:rPr>
        <w:t>本办法</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shd w:val="clear" w:color="auto" w:fill="auto"/>
          <w:lang w:val="en-US" w:eastAsia="zh-CN"/>
        </w:rPr>
        <w:t>扶持资金规模为2900万元，第一、二年为980万元，第三年为940万元，当年度扶持资金于次年集中申报，若申报总额超出预算规模，则根据申报总额对扶持资金按比例缩减。</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shd w:val="clear" w:color="auto" w:fill="auto"/>
        </w:rPr>
        <w:t>所涉及的</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shd w:val="clear" w:color="auto" w:fill="auto"/>
          <w:lang w:val="en-US" w:eastAsia="zh-CN"/>
        </w:rPr>
        <w:t>财政</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shd w:val="clear" w:color="auto" w:fill="auto"/>
        </w:rPr>
        <w:t>专项资金由区</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shd w:val="clear" w:color="auto" w:fill="auto"/>
          <w:lang w:val="en-US" w:eastAsia="zh-CN"/>
        </w:rPr>
        <w:t>级财政</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shd w:val="clear" w:color="auto" w:fill="auto"/>
        </w:rPr>
        <w:t>负担相应支出。</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lang w:val="en-US" w:eastAsia="zh-CN"/>
        </w:rPr>
        <w:t>由区经促局按照相关要求开展资金拨付工作</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default"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pPr>
      <w:r>
        <w:rPr>
          <w:rFonts w:hint="eastAsia" w:ascii="黑体" w:hAnsi="黑体" w:eastAsia="黑体" w:cs="仿宋_GB2312"/>
          <w:b w:val="0"/>
          <w:bCs/>
          <w:i w:val="0"/>
          <w:outline w:val="0"/>
          <w:shadow w:val="0"/>
          <w:emboss w:val="0"/>
          <w:imprint w:val="0"/>
          <w:snapToGrid/>
          <w:vanish w:val="0"/>
          <w:color w:val="000000"/>
          <w:spacing w:val="0"/>
          <w:w w:val="100"/>
          <w:kern w:val="2"/>
          <w:position w:val="0"/>
          <w:sz w:val="32"/>
          <w:szCs w:val="32"/>
          <w:u w:val="none"/>
        </w:rPr>
        <w:t>第二十</w:t>
      </w:r>
      <w:r>
        <w:rPr>
          <w:rFonts w:hint="eastAsia" w:ascii="黑体" w:hAnsi="黑体" w:eastAsia="黑体" w:cs="仿宋_GB2312"/>
          <w:b w:val="0"/>
          <w:bCs/>
          <w:i w:val="0"/>
          <w:outline w:val="0"/>
          <w:shadow w:val="0"/>
          <w:emboss w:val="0"/>
          <w:imprint w:val="0"/>
          <w:snapToGrid/>
          <w:vanish w:val="0"/>
          <w:color w:val="000000"/>
          <w:spacing w:val="0"/>
          <w:w w:val="100"/>
          <w:kern w:val="2"/>
          <w:position w:val="0"/>
          <w:sz w:val="32"/>
          <w:szCs w:val="32"/>
          <w:u w:val="none"/>
          <w:lang w:val="en-US" w:eastAsia="zh-CN"/>
        </w:rPr>
        <w:t>六</w:t>
      </w:r>
      <w:r>
        <w:rPr>
          <w:rFonts w:hint="eastAsia" w:ascii="黑体" w:hAnsi="黑体" w:eastAsia="黑体" w:cs="仿宋_GB2312"/>
          <w:b w:val="0"/>
          <w:bCs/>
          <w:i w:val="0"/>
          <w:outline w:val="0"/>
          <w:shadow w:val="0"/>
          <w:emboss w:val="0"/>
          <w:imprint w:val="0"/>
          <w:snapToGrid/>
          <w:vanish w:val="0"/>
          <w:color w:val="000000"/>
          <w:spacing w:val="0"/>
          <w:w w:val="100"/>
          <w:kern w:val="2"/>
          <w:position w:val="0"/>
          <w:sz w:val="32"/>
          <w:szCs w:val="32"/>
          <w:u w:val="none"/>
        </w:rPr>
        <w:t>条</w:t>
      </w:r>
      <w:r>
        <w:rPr>
          <w:rFonts w:hint="eastAsia" w:ascii="宋体" w:hAnsi="宋体" w:eastAsia="仿宋_GB2312" w:cs="仿宋_GB2312"/>
          <w:b w:val="0"/>
          <w:bCs/>
          <w:i w:val="0"/>
          <w:outline w:val="0"/>
          <w:shadow w:val="0"/>
          <w:emboss w:val="0"/>
          <w:imprint w:val="0"/>
          <w:snapToGrid/>
          <w:vanish w:val="0"/>
          <w:color w:val="000000"/>
          <w:spacing w:val="0"/>
          <w:w w:val="100"/>
          <w:kern w:val="2"/>
          <w:position w:val="0"/>
          <w:sz w:val="32"/>
          <w:szCs w:val="32"/>
          <w:u w:val="none"/>
          <w:lang w:val="en-US" w:eastAsia="zh-CN"/>
        </w:rPr>
        <w:t xml:space="preserve"> </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t>同一项目</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lang w:val="en-US" w:eastAsia="zh-CN"/>
        </w:rPr>
        <w:t>和企业在本区内不重复享受相同类别的资金支持和奖励，若同时符合南海区及区内镇（街道）其他同类型扶持政策条件的，</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t>按照</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lang w:eastAsia="zh-CN"/>
        </w:rPr>
        <w:t>“</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t>就高不重复</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lang w:eastAsia="zh-CN"/>
        </w:rPr>
        <w:t>”</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t>原则执行。</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lang w:val="en-US" w:eastAsia="zh-CN"/>
        </w:rPr>
        <w:t>本办法不包含已享受“一企一策”等专项扶持政策企业。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pPr>
      <w:r>
        <w:rPr>
          <w:rFonts w:hint="eastAsia" w:ascii="黑体" w:hAnsi="黑体" w:eastAsia="黑体" w:cs="仿宋_GB2312"/>
          <w:b w:val="0"/>
          <w:bCs/>
          <w:i w:val="0"/>
          <w:outline w:val="0"/>
          <w:shadow w:val="0"/>
          <w:emboss w:val="0"/>
          <w:imprint w:val="0"/>
          <w:snapToGrid/>
          <w:vanish w:val="0"/>
          <w:color w:val="000000"/>
          <w:spacing w:val="0"/>
          <w:w w:val="100"/>
          <w:kern w:val="2"/>
          <w:position w:val="0"/>
          <w:sz w:val="32"/>
          <w:szCs w:val="32"/>
          <w:u w:val="none"/>
          <w:lang w:val="en-US" w:eastAsia="zh-CN"/>
        </w:rPr>
        <w:t>第二十七条</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lang w:val="en-US" w:eastAsia="zh-CN"/>
        </w:rPr>
        <w:t xml:space="preserve"> 申报主体应当对申报材料的真实性、合法性、完整性负责，应如实提供本单位信用状况，作出承诺并依法承担违约责任，不得弄虚作假、套取、骗取财政专项资金，自觉接受财政部门、审计部门及廉政监督部门监督。</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t>对因虚假申报获得支持和奖励的单位和个人，一经查实即追回相应资金，</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lang w:val="en-US" w:eastAsia="zh-CN"/>
        </w:rPr>
        <w:t>包括自扶持资金发放之日起按当期贷款市场报价利率（LPR）所产生的利息，并依法依规开展信用管理。</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t>触犯法律的依法追究法律责任</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lang w:eastAsia="zh-CN"/>
        </w:rPr>
        <w:t>，</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lang w:val="en-US" w:eastAsia="zh-CN"/>
        </w:rPr>
        <w:t>涉嫌犯罪的依法移送司法机关处理</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lang w:val="en-US" w:eastAsia="zh-CN"/>
        </w:rPr>
      </w:pPr>
      <w:r>
        <w:rPr>
          <w:rFonts w:hint="eastAsia" w:ascii="黑体" w:hAnsi="黑体" w:eastAsia="黑体" w:cs="仿宋_GB2312"/>
          <w:b w:val="0"/>
          <w:bCs/>
          <w:i w:val="0"/>
          <w:outline w:val="0"/>
          <w:shadow w:val="0"/>
          <w:emboss w:val="0"/>
          <w:imprint w:val="0"/>
          <w:snapToGrid/>
          <w:vanish w:val="0"/>
          <w:color w:val="000000"/>
          <w:spacing w:val="0"/>
          <w:w w:val="100"/>
          <w:kern w:val="2"/>
          <w:position w:val="0"/>
          <w:sz w:val="32"/>
          <w:szCs w:val="32"/>
          <w:u w:val="none"/>
        </w:rPr>
        <w:t>第二十</w:t>
      </w:r>
      <w:r>
        <w:rPr>
          <w:rFonts w:hint="eastAsia" w:ascii="黑体" w:hAnsi="黑体" w:eastAsia="黑体" w:cs="仿宋_GB2312"/>
          <w:b w:val="0"/>
          <w:bCs/>
          <w:i w:val="0"/>
          <w:outline w:val="0"/>
          <w:shadow w:val="0"/>
          <w:emboss w:val="0"/>
          <w:imprint w:val="0"/>
          <w:snapToGrid/>
          <w:vanish w:val="0"/>
          <w:color w:val="000000"/>
          <w:spacing w:val="0"/>
          <w:w w:val="100"/>
          <w:kern w:val="2"/>
          <w:position w:val="0"/>
          <w:sz w:val="32"/>
          <w:szCs w:val="32"/>
          <w:u w:val="none"/>
          <w:lang w:val="en-US" w:eastAsia="zh-CN"/>
        </w:rPr>
        <w:t>八</w:t>
      </w:r>
      <w:r>
        <w:rPr>
          <w:rFonts w:hint="eastAsia" w:ascii="黑体" w:hAnsi="黑体" w:eastAsia="黑体" w:cs="仿宋_GB2312"/>
          <w:b w:val="0"/>
          <w:bCs/>
          <w:i w:val="0"/>
          <w:outline w:val="0"/>
          <w:shadow w:val="0"/>
          <w:emboss w:val="0"/>
          <w:imprint w:val="0"/>
          <w:snapToGrid/>
          <w:vanish w:val="0"/>
          <w:color w:val="000000"/>
          <w:spacing w:val="0"/>
          <w:w w:val="100"/>
          <w:kern w:val="2"/>
          <w:position w:val="0"/>
          <w:sz w:val="32"/>
          <w:szCs w:val="32"/>
          <w:u w:val="none"/>
        </w:rPr>
        <w:t>条</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t xml:space="preserve"> 本办法</w:t>
      </w:r>
      <w:r>
        <w:rPr>
          <w:rFonts w:ascii="宋体" w:hAnsi="宋体" w:eastAsia="仿宋_GB2312" w:cs="仿宋_GB2312"/>
          <w:b w:val="0"/>
          <w:i w:val="0"/>
          <w:outline w:val="0"/>
          <w:shadow w:val="0"/>
          <w:emboss w:val="0"/>
          <w:imprint w:val="0"/>
          <w:snapToGrid/>
          <w:vanish w:val="0"/>
          <w:color w:val="000000"/>
          <w:spacing w:val="0"/>
          <w:w w:val="100"/>
          <w:kern w:val="2"/>
          <w:position w:val="0"/>
          <w:sz w:val="32"/>
          <w:szCs w:val="31"/>
          <w:u w:val="none"/>
          <w:lang w:val="en-US" w:eastAsia="zh-CN" w:bidi="ar"/>
        </w:rPr>
        <w:t>自印发之日起</w:t>
      </w:r>
      <w:r>
        <w:rPr>
          <w:rFonts w:ascii="宋体" w:hAnsi="宋体" w:eastAsia="仿宋_GB2312" w:cs="宋体"/>
          <w:b w:val="0"/>
          <w:i w:val="0"/>
          <w:outline w:val="0"/>
          <w:shadow w:val="0"/>
          <w:emboss w:val="0"/>
          <w:imprint w:val="0"/>
          <w:snapToGrid/>
          <w:vanish w:val="0"/>
          <w:color w:val="000000"/>
          <w:spacing w:val="0"/>
          <w:w w:val="100"/>
          <w:kern w:val="2"/>
          <w:position w:val="0"/>
          <w:sz w:val="32"/>
          <w:szCs w:val="31"/>
          <w:u w:val="none"/>
          <w:lang w:val="en-US" w:eastAsia="zh-CN" w:bidi="ar"/>
        </w:rPr>
        <w:t>30</w:t>
      </w:r>
      <w:r>
        <w:rPr>
          <w:rFonts w:ascii="宋体" w:hAnsi="宋体" w:eastAsia="仿宋_GB2312" w:cs="仿宋_GB2312"/>
          <w:b w:val="0"/>
          <w:i w:val="0"/>
          <w:outline w:val="0"/>
          <w:shadow w:val="0"/>
          <w:emboss w:val="0"/>
          <w:imprint w:val="0"/>
          <w:snapToGrid/>
          <w:vanish w:val="0"/>
          <w:color w:val="000000"/>
          <w:spacing w:val="0"/>
          <w:w w:val="100"/>
          <w:kern w:val="2"/>
          <w:position w:val="0"/>
          <w:sz w:val="32"/>
          <w:szCs w:val="31"/>
          <w:u w:val="none"/>
          <w:lang w:val="en-US" w:eastAsia="zh-CN" w:bidi="ar"/>
        </w:rPr>
        <w:t>日后施行</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highlight w:val="none"/>
          <w:u w:val="none"/>
          <w:lang w:val="en-US" w:eastAsia="zh-CN"/>
        </w:rPr>
        <w:t>，有效期三</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highlight w:val="none"/>
          <w:u w:val="none"/>
          <w:lang w:val="en-US" w:eastAsia="zh-Hans"/>
        </w:rPr>
        <w:t>年</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shd w:val="clear" w:color="auto" w:fill="auto"/>
        </w:rPr>
        <w:t>。</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shd w:val="clear" w:color="auto" w:fill="auto"/>
          <w:lang w:val="en-US" w:eastAsia="zh-CN"/>
        </w:rPr>
        <w:t>2023年7月1日起符合本办法规定的，</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lang w:val="en-US" w:eastAsia="zh-CN"/>
        </w:rPr>
        <w:t>参照本办法执行。在本办法有效期届满后，符合本办法规定仍需继续执行的奖励条款，企业可按本办法标准继续申请当年度奖励扶持资金。</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pPr>
      <w:r>
        <w:rPr>
          <w:rFonts w:hint="eastAsia" w:ascii="黑体" w:hAnsi="黑体" w:eastAsia="黑体" w:cs="仿宋_GB2312"/>
          <w:b w:val="0"/>
          <w:bCs/>
          <w:i w:val="0"/>
          <w:outline w:val="0"/>
          <w:shadow w:val="0"/>
          <w:emboss w:val="0"/>
          <w:imprint w:val="0"/>
          <w:snapToGrid/>
          <w:vanish w:val="0"/>
          <w:color w:val="000000"/>
          <w:spacing w:val="0"/>
          <w:w w:val="100"/>
          <w:kern w:val="2"/>
          <w:position w:val="0"/>
          <w:sz w:val="32"/>
          <w:szCs w:val="32"/>
          <w:u w:val="none"/>
          <w:lang w:val="en-US" w:eastAsia="zh-CN"/>
        </w:rPr>
        <w:t>第二十九条</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lang w:val="en-US" w:eastAsia="zh-CN"/>
        </w:rPr>
        <w:t xml:space="preserve"> 本办法</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t>由</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lang w:val="en-US" w:eastAsia="zh-CN"/>
        </w:rPr>
        <w:t>区</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t>经济促进局负责解释</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lang w:val="en-US" w:eastAsia="zh-CN"/>
        </w:rPr>
        <w:t>和组织实施</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t>，</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lang w:val="en-US" w:eastAsia="zh-CN"/>
        </w:rPr>
        <w:t>实施细则</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t>另行制定。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ascii="宋体" w:hAnsi="宋体" w:eastAsia="仿宋_GB2312"/>
          <w:b w:val="0"/>
          <w:i w:val="0"/>
          <w:outline w:val="0"/>
          <w:shadow w:val="0"/>
          <w:emboss w:val="0"/>
          <w:imprint w:val="0"/>
          <w:snapToGrid/>
          <w:vanish w:val="0"/>
          <w:color w:val="000000"/>
          <w:spacing w:val="0"/>
          <w:w w:val="100"/>
          <w:kern w:val="2"/>
          <w:position w:val="0"/>
          <w:sz w:val="32"/>
          <w:u w:val="none"/>
        </w:rPr>
      </w:pPr>
    </w:p>
    <w:sectPr>
      <w:headerReference r:id="rId3" w:type="default"/>
      <w:footerReference r:id="rId4" w:type="default"/>
      <w:pgSz w:w="11906" w:h="16838"/>
      <w:pgMar w:top="2098" w:right="1474" w:bottom="1984" w:left="1588" w:header="851" w:footer="1361" w:gutter="0"/>
      <w:paperSrc/>
      <w:pgNumType w:fmt="decimal"/>
      <w:cols w:space="720" w:num="1"/>
      <w:rtlGutter w:val="0"/>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仿宋">
    <w:altName w:val="宋体"/>
    <w:panose1 w:val="02010609060101010101"/>
    <w:charset w:val="00"/>
    <w:family w:val="modern"/>
    <w:pitch w:val="default"/>
    <w:sig w:usb0="800002BF" w:usb1="38CF7CFA" w:usb2="00000016" w:usb3="00000000" w:csb0="00040001" w:csb1="00000000"/>
  </w:font>
  <w:font w:name="方正小标宋简体">
    <w:panose1 w:val="02000000000000000000"/>
    <w:charset w:val="86"/>
    <w:family w:val="auto"/>
    <w:pitch w:val="default"/>
    <w:sig w:usb0="A00002BF" w:usb1="184F6CFA" w:usb2="00000012" w:usb3="00000000" w:csb0="00040001" w:csb1="00000000"/>
  </w:font>
  <w:font w:name="楷体_GB2312">
    <w:panose1 w:val="02010609030101010101"/>
    <w:charset w:val="86"/>
    <w:family w:val="auto"/>
    <w:pitch w:val="default"/>
    <w:sig w:usb0="00000001" w:usb1="080E0000" w:usb2="00000000" w:usb3="00000000" w:csb0="00040000" w:csb1="00000000"/>
  </w:font>
  <w:font w:name="楷体">
    <w:altName w:val="方正楷体_GBK"/>
    <w:panose1 w:val="02010609060101010101"/>
    <w:charset w:val="00"/>
    <w:family w:val="auto"/>
    <w:pitch w:val="default"/>
    <w:sig w:usb0="800002BF" w:usb1="38CF7CFA" w:usb2="00000016" w:usb3="00000000" w:csb0="00040001"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方正楷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240" w:lineRule="auto"/>
      <w:ind w:left="320" w:leftChars="100" w:right="320" w:rightChars="100"/>
      <w:jc w:val="both"/>
      <w:rPr>
        <w:rFonts w:hint="eastAsia" w:ascii="宋体" w:hAnsi="宋体" w:eastAsia="宋体" w:cs="宋体"/>
        <w:sz w:val="28"/>
        <w:lang w:eastAsia="zh-CN"/>
      </w:rPr>
    </w:pP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spacing w:line="240" w:lineRule="auto"/>
                            <w:ind w:left="320" w:leftChars="100" w:right="320" w:rightChars="100"/>
                            <w:jc w:val="both"/>
                          </w:pPr>
                          <w:r>
                            <w:rPr>
                              <w:rFonts w:hint="eastAsia" w:eastAsia="宋体" w:cs="宋体"/>
                              <w:sz w:val="28"/>
                              <w:lang w:eastAsia="zh-CN"/>
                            </w:rPr>
                            <w:t xml:space="preserve">— </w:t>
                          </w:r>
                          <w:r>
                            <w:rPr>
                              <w:rFonts w:hint="eastAsia" w:eastAsia="宋体" w:cs="宋体"/>
                              <w:sz w:val="28"/>
                              <w:lang w:eastAsia="zh-CN"/>
                            </w:rPr>
                            <w:fldChar w:fldCharType="begin"/>
                          </w:r>
                          <w:r>
                            <w:rPr>
                              <w:rFonts w:hint="eastAsia" w:eastAsia="宋体" w:cs="宋体"/>
                              <w:sz w:val="28"/>
                              <w:lang w:eastAsia="zh-CN"/>
                            </w:rPr>
                            <w:instrText xml:space="preserve"> PAGE  \* MERGEFORMAT </w:instrText>
                          </w:r>
                          <w:r>
                            <w:rPr>
                              <w:rFonts w:hint="eastAsia" w:eastAsia="宋体" w:cs="宋体"/>
                              <w:sz w:val="28"/>
                              <w:lang w:eastAsia="zh-CN"/>
                            </w:rPr>
                            <w:fldChar w:fldCharType="separate"/>
                          </w:r>
                          <w:r>
                            <w:rPr>
                              <w:rFonts w:hint="eastAsia" w:eastAsia="宋体" w:cs="宋体"/>
                              <w:sz w:val="28"/>
                              <w:lang w:eastAsia="zh-CN"/>
                            </w:rPr>
                            <w:t>2</w:t>
                          </w:r>
                          <w:r>
                            <w:rPr>
                              <w:rFonts w:hint="eastAsia" w:eastAsia="宋体" w:cs="宋体"/>
                              <w:sz w:val="28"/>
                              <w:lang w:eastAsia="zh-CN"/>
                            </w:rPr>
                            <w:fldChar w:fldCharType="end"/>
                          </w:r>
                          <w:r>
                            <w:rPr>
                              <w:rFonts w:hint="eastAsia" w:eastAsia="宋体" w:cs="宋体"/>
                              <w:sz w:val="28"/>
                              <w:lang w:eastAsia="zh-CN"/>
                            </w:rPr>
                            <w:t xml:space="preserve"> —</w:t>
                          </w:r>
                        </w:p>
                      </w:txbxContent>
                    </wps:txbx>
                    <wps:bodyPr vert="horz" wrap="none" lIns="0" tIns="0" rIns="0" bIns="0" anchor="t" anchorCtr="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BYAAABkcnMvUEsBAhQAFAAAAAgAh07iQM6p&#10;ebnPAAAABQEAAA8AAAAAAAAAAQAgAAAAOAAAAGRycy9kb3ducmV2LnhtbFBLAQIUABQAAAAIAIdO&#10;4kBteV5o3QEAAL4DAAAOAAAAAAAAAAEAIAAAADQBAABkcnMvZTJvRG9jLnhtbFBLBQYAAAAABgAG&#10;AFkBAACDBQAAAAA=&#10;">
              <v:fill on="f" focussize="0,0"/>
              <v:stroke on="f"/>
              <v:imagedata o:title=""/>
              <o:lock v:ext="edit" aspectratio="f"/>
              <v:textbox inset="0mm,0mm,0mm,0mm" style="mso-fit-shape-to-text:t;">
                <w:txbxContent>
                  <w:p>
                    <w:pPr>
                      <w:pStyle w:val="3"/>
                      <w:spacing w:line="240" w:lineRule="auto"/>
                      <w:ind w:left="320" w:leftChars="100" w:right="320" w:rightChars="100"/>
                      <w:jc w:val="both"/>
                    </w:pPr>
                    <w:r>
                      <w:rPr>
                        <w:rFonts w:hint="eastAsia" w:eastAsia="宋体" w:cs="宋体"/>
                        <w:sz w:val="28"/>
                        <w:lang w:eastAsia="zh-CN"/>
                      </w:rPr>
                      <w:t xml:space="preserve">— </w:t>
                    </w:r>
                    <w:r>
                      <w:rPr>
                        <w:rFonts w:hint="eastAsia" w:eastAsia="宋体" w:cs="宋体"/>
                        <w:sz w:val="28"/>
                        <w:lang w:eastAsia="zh-CN"/>
                      </w:rPr>
                      <w:fldChar w:fldCharType="begin"/>
                    </w:r>
                    <w:r>
                      <w:rPr>
                        <w:rFonts w:hint="eastAsia" w:eastAsia="宋体" w:cs="宋体"/>
                        <w:sz w:val="28"/>
                        <w:lang w:eastAsia="zh-CN"/>
                      </w:rPr>
                      <w:instrText xml:space="preserve"> PAGE  \* MERGEFORMAT </w:instrText>
                    </w:r>
                    <w:r>
                      <w:rPr>
                        <w:rFonts w:hint="eastAsia" w:eastAsia="宋体" w:cs="宋体"/>
                        <w:sz w:val="28"/>
                        <w:lang w:eastAsia="zh-CN"/>
                      </w:rPr>
                      <w:fldChar w:fldCharType="separate"/>
                    </w:r>
                    <w:r>
                      <w:rPr>
                        <w:rFonts w:hint="eastAsia" w:eastAsia="宋体" w:cs="宋体"/>
                        <w:sz w:val="28"/>
                        <w:lang w:eastAsia="zh-CN"/>
                      </w:rPr>
                      <w:t>2</w:t>
                    </w:r>
                    <w:r>
                      <w:rPr>
                        <w:rFonts w:hint="eastAsia" w:eastAsia="宋体" w:cs="宋体"/>
                        <w:sz w:val="28"/>
                        <w:lang w:eastAsia="zh-CN"/>
                      </w:rPr>
                      <w:fldChar w:fldCharType="end"/>
                    </w:r>
                    <w:r>
                      <w:rPr>
                        <w:rFonts w:hint="eastAsia" w:eastAsia="宋体" w:cs="宋体"/>
                        <w:sz w:val="28"/>
                        <w:lang w:eastAsia="zh-CN"/>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9D66F70"/>
    <w:multiLevelType w:val="singleLevel"/>
    <w:tmpl w:val="79D66F70"/>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hyphenationZone w:val="360"/>
  <w:drawingGridHorizontalSpacing w:val="158"/>
  <w:drawingGridVerticalSpacing w:val="290"/>
  <w:displayHorizontalDrawingGridEvery w:val="2"/>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E9A"/>
    <w:rsid w:val="001740DA"/>
    <w:rsid w:val="00576255"/>
    <w:rsid w:val="009E7F11"/>
    <w:rsid w:val="00D101F1"/>
    <w:rsid w:val="00DB4E9A"/>
    <w:rsid w:val="057A17C4"/>
    <w:rsid w:val="082A41F5"/>
    <w:rsid w:val="08BF4B31"/>
    <w:rsid w:val="0EEC71AE"/>
    <w:rsid w:val="10A976E1"/>
    <w:rsid w:val="12152354"/>
    <w:rsid w:val="1A6F016E"/>
    <w:rsid w:val="1FD33F2A"/>
    <w:rsid w:val="1FED551E"/>
    <w:rsid w:val="224153BF"/>
    <w:rsid w:val="22A10E8E"/>
    <w:rsid w:val="31DD236E"/>
    <w:rsid w:val="33E7431C"/>
    <w:rsid w:val="35024B25"/>
    <w:rsid w:val="39D007B0"/>
    <w:rsid w:val="3CD2374C"/>
    <w:rsid w:val="3DFD46FC"/>
    <w:rsid w:val="3F7A050E"/>
    <w:rsid w:val="40CB6602"/>
    <w:rsid w:val="438529F5"/>
    <w:rsid w:val="45AF1D98"/>
    <w:rsid w:val="48483AC5"/>
    <w:rsid w:val="48AF428B"/>
    <w:rsid w:val="495B192D"/>
    <w:rsid w:val="49724C69"/>
    <w:rsid w:val="4A4F6FE3"/>
    <w:rsid w:val="51677F27"/>
    <w:rsid w:val="567749D5"/>
    <w:rsid w:val="58D8034C"/>
    <w:rsid w:val="5DDE611C"/>
    <w:rsid w:val="618D2D9B"/>
    <w:rsid w:val="67E3597E"/>
    <w:rsid w:val="68BC60B1"/>
    <w:rsid w:val="6968783C"/>
    <w:rsid w:val="69CB10A2"/>
    <w:rsid w:val="6B5C49F7"/>
    <w:rsid w:val="70B26E0A"/>
    <w:rsid w:val="718C6759"/>
    <w:rsid w:val="72B841E9"/>
    <w:rsid w:val="77BBC986"/>
    <w:rsid w:val="7D6619C8"/>
    <w:rsid w:val="7DC242E0"/>
    <w:rsid w:val="7EE22502"/>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宋体" w:eastAsia="仿宋_GB2312"/>
      <w:kern w:val="2"/>
      <w:sz w:val="32"/>
      <w:szCs w:val="22"/>
      <w:lang w:val="en-US" w:eastAsia="zh-CN" w:bidi="ar-SA"/>
    </w:rPr>
  </w:style>
  <w:style w:type="paragraph" w:styleId="2">
    <w:name w:val="heading 3"/>
    <w:basedOn w:val="1"/>
    <w:next w:val="1"/>
    <w:unhideWhenUsed/>
    <w:qFormat/>
    <w:uiPriority w:val="0"/>
    <w:pPr>
      <w:spacing w:before="104" w:after="104"/>
      <w:outlineLvl w:val="2"/>
    </w:pPr>
    <w:rPr>
      <w:rFonts w:ascii="Calibri" w:hAnsi="Calibri" w:eastAsia="宋体" w:cs="Times New Roman"/>
    </w:rPr>
  </w:style>
  <w:style w:type="character" w:default="1" w:styleId="6">
    <w:name w:val="Default Paragraph Font"/>
    <w:unhideWhenUsed/>
    <w:uiPriority w:val="1"/>
  </w:style>
  <w:style w:type="table" w:default="1" w:styleId="5">
    <w:name w:val="Normal Table"/>
    <w:unhideWhenUsed/>
    <w:uiPriority w:val="99"/>
    <w:tblPr>
      <w:tblStyle w:val="5"/>
      <w:tblCellMar>
        <w:top w:w="0" w:type="dxa"/>
        <w:left w:w="108" w:type="dxa"/>
        <w:bottom w:w="0" w:type="dxa"/>
        <w:right w:w="108" w:type="dxa"/>
      </w:tblCellMar>
    </w:tblPr>
  </w:style>
  <w:style w:type="paragraph" w:styleId="3">
    <w:name w:val="footer"/>
    <w:basedOn w:val="1"/>
    <w:link w:val="8"/>
    <w:unhideWhenUsed/>
    <w:uiPriority w:val="99"/>
    <w:pPr>
      <w:tabs>
        <w:tab w:val="center" w:pos="4153"/>
        <w:tab w:val="right" w:pos="8306"/>
      </w:tabs>
      <w:snapToGrid w:val="0"/>
      <w:jc w:val="left"/>
    </w:pPr>
    <w:rPr>
      <w:sz w:val="18"/>
      <w:szCs w:val="18"/>
    </w:rPr>
  </w:style>
  <w:style w:type="paragraph" w:styleId="4">
    <w:name w:val="header"/>
    <w:basedOn w:val="1"/>
    <w:link w:val="9"/>
    <w:unhideWhenUsed/>
    <w:uiPriority w:val="99"/>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0"/>
  </w:style>
  <w:style w:type="character" w:customStyle="1" w:styleId="8">
    <w:name w:val="页脚 Char"/>
    <w:link w:val="3"/>
    <w:uiPriority w:val="99"/>
    <w:rPr>
      <w:sz w:val="18"/>
      <w:szCs w:val="18"/>
    </w:rPr>
  </w:style>
  <w:style w:type="character" w:customStyle="1" w:styleId="9">
    <w:name w:val="页眉 Char"/>
    <w:link w:val="4"/>
    <w:uiPriority w:val="99"/>
    <w:rPr>
      <w:sz w:val="18"/>
      <w:szCs w:val="18"/>
    </w:rPr>
  </w:style>
  <w:style w:type="paragraph" w:customStyle="1" w:styleId="10">
    <w:name w:val="_Style 5"/>
    <w:qFormat/>
    <w:uiPriority w:val="0"/>
    <w:pPr>
      <w:widowControl w:val="0"/>
      <w:ind w:firstLine="200" w:firstLineChars="200"/>
      <w:jc w:val="both"/>
    </w:pPr>
    <w:rPr>
      <w:rFonts w:ascii="Times New Roman" w:hAnsi="Times New Roman" w:eastAsia="宋体" w:cs="Times New Roman"/>
      <w:kern w:val="2"/>
      <w:sz w:val="24"/>
      <w:szCs w:val="22"/>
      <w:lang w:val="en-US" w:eastAsia="zh-CN" w:bidi="ar-SA"/>
    </w:rPr>
  </w:style>
  <w:style w:type="character" w:customStyle="1" w:styleId="11">
    <w:name w:val="NormalCharacter"/>
    <w:link w:val="12"/>
    <w:qFormat/>
    <w:uiPriority w:val="0"/>
  </w:style>
  <w:style w:type="paragraph" w:customStyle="1" w:styleId="12">
    <w:name w:val="UserStyle_1"/>
    <w:basedOn w:val="1"/>
    <w:link w:val="11"/>
    <w:qFormat/>
    <w:uiPriority w:val="0"/>
    <w:pPr>
      <w:spacing w:after="160" w:line="240" w:lineRule="exact"/>
      <w:jc w:val="left"/>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Office_11.8.2.10953_F1E327BC-269C-435d-A152-05C5408002CA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2019-03-07T21:07:00Z</dcterms:created>
  <dc:creator>管理员</dc:creator>
  <cp:lastModifiedBy>崔嘉仪</cp:lastModifiedBy>
  <dcterms:modified xsi:type="dcterms:W3CDTF">2023-11-16T10:23:10Z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2052-11.8.2.10953</vt:lpwstr>
  </property>
  <property fmtid="{D5CDD505-2E9C-101B-9397-08002B2CF9AE}" pid="3" name="ICV">
    <vt:lpwstr>730621D05AAB4D2BB840E5B801DF3236</vt:lpwstr>
  </property>
</Properties>
</file>