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spacing w:line="560" w:lineRule="exact"/>
        <w:jc w:val="left"/>
        <w:rPr>
          <w:rFonts w:hint="eastAsia" w:ascii="黑体" w:hAnsi="黑体" w:eastAsia="黑体"/>
          <w:lang w:val="en-US" w:eastAsia="zh-CN"/>
        </w:rPr>
      </w:pPr>
      <w:r>
        <w:rPr>
          <w:rFonts w:hint="eastAsia" w:ascii="黑体" w:hAnsi="黑体" w:eastAsia="黑体" w:cs="黑体"/>
          <w:b w:val="0"/>
          <w:bCs/>
          <w:color w:val="000000"/>
          <w:sz w:val="32"/>
          <w:szCs w:val="32"/>
          <w:lang w:val="en-US" w:eastAsia="zh-CN"/>
        </w:rPr>
        <w:t xml:space="preserve">NHFG2018014 </w:t>
      </w:r>
      <w:r>
        <w:rPr>
          <w:rFonts w:hint="eastAsia" w:ascii="仿宋" w:hAnsi="仿宋" w:eastAsia="仿宋" w:cs="仿宋"/>
          <w:b w:val="0"/>
          <w:bCs/>
          <w:color w:val="000000"/>
          <w:sz w:val="32"/>
          <w:szCs w:val="32"/>
          <w:lang w:val="en-US" w:eastAsia="zh-CN"/>
        </w:rPr>
        <w:t xml:space="preserve"> </w:t>
      </w:r>
    </w:p>
    <w:p>
      <w:pPr>
        <w:pStyle w:val="37"/>
        <w:spacing w:line="560" w:lineRule="exact"/>
        <w:jc w:val="left"/>
        <w:rPr>
          <w:rFonts w:hint="eastAsia"/>
        </w:rPr>
      </w:pPr>
      <w:r>
        <w:rPr>
          <w:rFonts w:hint="eastAsia" w:ascii="黑体" w:hAnsi="黑体" w:eastAsia="黑体"/>
          <w:lang w:eastAsia="zh-CN"/>
        </w:rPr>
        <w:t>主动</w:t>
      </w:r>
      <w:r>
        <w:rPr>
          <w:rFonts w:hint="eastAsia" w:ascii="黑体" w:hAnsi="黑体" w:eastAsia="黑体"/>
        </w:rPr>
        <w:t>公开</w:t>
      </w:r>
    </w:p>
    <w:p>
      <w:pPr>
        <w:pStyle w:val="37"/>
        <w:spacing w:line="500" w:lineRule="exact"/>
        <w:rPr>
          <w:rFonts w:hint="eastAsia"/>
        </w:rPr>
      </w:pPr>
    </w:p>
    <w:p>
      <w:pPr>
        <w:pStyle w:val="37"/>
        <w:spacing w:line="500" w:lineRule="exact"/>
        <w:rPr>
          <w:rFonts w:hint="eastAsia"/>
        </w:rPr>
      </w:pPr>
      <w:r>
        <w:pict>
          <v:group id="组合 15" o:spid="_x0000_s1026" o:spt="203" style="position:absolute;left:0pt;margin-left:4.55pt;margin-top:8.7pt;height:146.25pt;width:448.3pt;z-index:-251658240;mso-width-relative:page;mso-height-relative:page;" coordsize="8966,2925">
            <o:lock v:ext="edit" grouping="f" rotation="f" text="f" aspectratio="f"/>
            <v:shape id="艺术字 16" o:spid="_x0000_s1027" o:spt="136" type="#_x0000_t136" style="position:absolute;left:661;top:0;height:735;width:7740;" fillcolor="#FF0000" filled="t" stroked="t" coordsize="21600,21600" adj="10800">
              <v:path/>
              <v:fill on="t" focussize="0,0"/>
              <v:stroke color="#FF0000"/>
              <v:imagedata o:title=""/>
              <o:lock v:ext="edit" grouping="f" rotation="f" text="f" aspectratio="f"/>
              <v:textpath on="t" fitshape="t" fitpath="t" trim="t" xscale="f" string="佛山市南海区人民政府文件" style="font-family:方正小标宋简体;font-size:32pt;font-weight:bold;v-text-align:center;"/>
            </v:shape>
            <v:line id="直线 17" o:spid="_x0000_s1028" o:spt="20" style="position:absolute;left:0;top:2925;height:1;width:8967;" filled="f" stroked="t" coordsize="21600,21600">
              <v:path arrowok="t"/>
              <v:fill on="f" focussize="0,0"/>
              <v:stroke weight="1.25pt" color="#FF0000"/>
              <v:imagedata o:title=""/>
              <o:lock v:ext="edit" grouping="f" rotation="f" text="f" aspectratio="f"/>
            </v:line>
          </v:group>
        </w:pict>
      </w:r>
    </w:p>
    <w:p>
      <w:pPr>
        <w:pStyle w:val="37"/>
        <w:spacing w:line="500" w:lineRule="exact"/>
        <w:rPr>
          <w:rFonts w:hint="eastAsia"/>
        </w:rPr>
      </w:pPr>
    </w:p>
    <w:p>
      <w:pPr>
        <w:pStyle w:val="37"/>
        <w:spacing w:line="500" w:lineRule="exact"/>
        <w:rPr>
          <w:rFonts w:hint="eastAsia"/>
        </w:rPr>
      </w:pPr>
    </w:p>
    <w:p>
      <w:pPr>
        <w:pStyle w:val="37"/>
        <w:spacing w:line="500" w:lineRule="exact"/>
        <w:rPr>
          <w:rFonts w:hint="eastAsia"/>
        </w:rPr>
      </w:pPr>
    </w:p>
    <w:p>
      <w:pPr>
        <w:pStyle w:val="37"/>
        <w:spacing w:line="500" w:lineRule="exact"/>
        <w:rPr>
          <w:rFonts w:hint="eastAsia"/>
        </w:rPr>
      </w:pPr>
    </w:p>
    <w:p>
      <w:pPr>
        <w:pStyle w:val="37"/>
        <w:jc w:val="center"/>
        <w:rPr>
          <w:rFonts w:hint="eastAsia" w:ascii="仿宋" w:hAnsi="仿宋"/>
        </w:rPr>
      </w:pPr>
      <w:r>
        <w:rPr>
          <w:rFonts w:hint="eastAsia" w:ascii="仿宋" w:hAnsi="仿宋"/>
        </w:rPr>
        <w:t>南府〔201</w:t>
      </w:r>
      <w:r>
        <w:rPr>
          <w:rFonts w:hint="eastAsia" w:ascii="仿宋" w:hAnsi="仿宋"/>
          <w:lang w:val="en-US" w:eastAsia="zh-CN"/>
        </w:rPr>
        <w:t>8</w:t>
      </w:r>
      <w:r>
        <w:rPr>
          <w:rFonts w:hint="eastAsia" w:ascii="仿宋" w:hAnsi="仿宋"/>
        </w:rPr>
        <w:t>〕</w:t>
      </w:r>
      <w:r>
        <w:rPr>
          <w:rFonts w:hint="eastAsia" w:ascii="仿宋" w:hAnsi="仿宋"/>
          <w:lang w:val="en-US" w:eastAsia="zh-CN"/>
        </w:rPr>
        <w:t>14</w:t>
      </w:r>
      <w:r>
        <w:rPr>
          <w:rFonts w:hint="eastAsia" w:ascii="仿宋" w:hAnsi="仿宋"/>
        </w:rPr>
        <w:t>号</w:t>
      </w:r>
    </w:p>
    <w:p>
      <w:pPr>
        <w:pStyle w:val="89"/>
        <w:spacing w:after="0" w:afterLines="0"/>
        <w:ind w:firstLine="340" w:firstLineChars="100"/>
        <w:rPr>
          <w:rFonts w:hint="eastAsia" w:eastAsia="黑体"/>
          <w:spacing w:val="10"/>
          <w:szCs w:val="44"/>
        </w:rPr>
      </w:pPr>
    </w:p>
    <w:p>
      <w:pPr>
        <w:pStyle w:val="89"/>
        <w:spacing w:after="0" w:afterLines="0"/>
        <w:ind w:firstLine="340" w:firstLineChars="100"/>
        <w:rPr>
          <w:rFonts w:hint="eastAsia" w:eastAsia="黑体"/>
          <w:spacing w:val="10"/>
          <w:szCs w:val="44"/>
        </w:rPr>
      </w:pPr>
    </w:p>
    <w:p>
      <w:pPr>
        <w:pStyle w:val="71"/>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佛山市南海区人民政府关于印发佛山市</w:t>
      </w:r>
    </w:p>
    <w:p>
      <w:pPr>
        <w:pStyle w:val="71"/>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南海区地券管理暂行办法的通知</w:t>
      </w:r>
      <w:bookmarkEnd w:id="0"/>
    </w:p>
    <w:p>
      <w:pPr>
        <w:pStyle w:val="71"/>
        <w:ind w:firstLine="640"/>
        <w:rPr>
          <w:rFonts w:hint="eastAsia"/>
        </w:rPr>
      </w:pPr>
    </w:p>
    <w:p>
      <w:pPr>
        <w:adjustRightInd w:val="0"/>
        <w:snapToGrid w:val="0"/>
        <w:spacing w:line="560" w:lineRule="exact"/>
        <w:ind w:firstLine="0" w:firstLineChars="0"/>
        <w:rPr>
          <w:rFonts w:hint="eastAsia" w:ascii="仿宋" w:hAnsi="仿宋" w:eastAsia="仿宋" w:cs="仿宋"/>
          <w:kern w:val="0"/>
          <w:sz w:val="32"/>
          <w:szCs w:val="32"/>
        </w:rPr>
      </w:pPr>
      <w:r>
        <w:rPr>
          <w:rFonts w:hint="eastAsia" w:ascii="仿宋" w:hAnsi="仿宋" w:eastAsia="仿宋" w:cs="仿宋"/>
          <w:sz w:val="32"/>
          <w:szCs w:val="32"/>
        </w:rPr>
        <w:t>各镇人民政府</w:t>
      </w:r>
      <w:r>
        <w:rPr>
          <w:rFonts w:hint="eastAsia" w:ascii="仿宋" w:hAnsi="仿宋" w:eastAsia="仿宋" w:cs="仿宋"/>
          <w:sz w:val="32"/>
          <w:szCs w:val="32"/>
          <w:lang w:eastAsia="zh-CN"/>
        </w:rPr>
        <w:t>、</w:t>
      </w:r>
      <w:r>
        <w:rPr>
          <w:rFonts w:hint="eastAsia" w:ascii="仿宋" w:hAnsi="仿宋" w:eastAsia="仿宋" w:cs="仿宋"/>
          <w:sz w:val="32"/>
          <w:szCs w:val="32"/>
        </w:rPr>
        <w:t>街道办事处，区</w:t>
      </w:r>
      <w:r>
        <w:rPr>
          <w:rFonts w:hint="eastAsia" w:ascii="仿宋" w:hAnsi="仿宋" w:eastAsia="仿宋" w:cs="仿宋"/>
          <w:sz w:val="32"/>
          <w:szCs w:val="32"/>
          <w:lang w:eastAsia="zh-CN"/>
        </w:rPr>
        <w:t>直局以上</w:t>
      </w:r>
      <w:r>
        <w:rPr>
          <w:rFonts w:hint="eastAsia" w:ascii="仿宋" w:hAnsi="仿宋" w:eastAsia="仿宋" w:cs="仿宋"/>
          <w:sz w:val="32"/>
          <w:szCs w:val="32"/>
        </w:rPr>
        <w:t>单位</w:t>
      </w:r>
      <w:r>
        <w:rPr>
          <w:rFonts w:hint="eastAsia" w:ascii="仿宋" w:hAnsi="仿宋" w:eastAsia="仿宋" w:cs="仿宋"/>
          <w:kern w:val="0"/>
          <w:sz w:val="32"/>
          <w:szCs w:val="32"/>
        </w:rPr>
        <w:t>：</w:t>
      </w:r>
    </w:p>
    <w:p>
      <w:pPr>
        <w:pStyle w:val="71"/>
        <w:ind w:firstLine="640"/>
        <w:rPr>
          <w:rFonts w:hint="eastAsia" w:ascii="仿宋" w:hAnsi="仿宋" w:eastAsia="仿宋" w:cs="仿宋"/>
          <w:sz w:val="32"/>
          <w:szCs w:val="32"/>
        </w:rPr>
      </w:pPr>
      <w:r>
        <w:rPr>
          <w:rFonts w:hint="eastAsia" w:ascii="仿宋" w:hAnsi="仿宋" w:eastAsia="仿宋" w:cs="仿宋"/>
          <w:sz w:val="32"/>
          <w:szCs w:val="32"/>
          <w:lang w:eastAsia="zh-CN"/>
        </w:rPr>
        <w:t>现将</w:t>
      </w:r>
      <w:r>
        <w:rPr>
          <w:rFonts w:hint="eastAsia" w:ascii="仿宋" w:hAnsi="仿宋" w:eastAsia="仿宋" w:cs="仿宋"/>
          <w:sz w:val="32"/>
          <w:szCs w:val="32"/>
        </w:rPr>
        <w:t>《佛山市南海区地券管理暂行办法》印发给你们，请认真贯彻执行，执行过程中</w:t>
      </w:r>
      <w:r>
        <w:rPr>
          <w:rFonts w:hint="eastAsia" w:ascii="仿宋" w:hAnsi="仿宋" w:eastAsia="仿宋" w:cs="仿宋"/>
          <w:sz w:val="32"/>
          <w:szCs w:val="32"/>
          <w:lang w:eastAsia="zh-CN"/>
        </w:rPr>
        <w:t>遇到</w:t>
      </w:r>
      <w:r>
        <w:rPr>
          <w:rFonts w:hint="eastAsia" w:ascii="仿宋" w:hAnsi="仿宋" w:eastAsia="仿宋" w:cs="仿宋"/>
          <w:sz w:val="32"/>
          <w:szCs w:val="32"/>
        </w:rPr>
        <w:t>的问题请径向区国土城建和水务局（国土）反映</w:t>
      </w: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86369939）</w:t>
      </w:r>
      <w:r>
        <w:rPr>
          <w:rFonts w:hint="eastAsia" w:ascii="仿宋" w:hAnsi="仿宋" w:eastAsia="仿宋" w:cs="仿宋"/>
          <w:sz w:val="32"/>
          <w:szCs w:val="32"/>
        </w:rPr>
        <w:t>。</w:t>
      </w:r>
    </w:p>
    <w:p>
      <w:pPr>
        <w:pStyle w:val="71"/>
        <w:ind w:firstLine="0" w:firstLineChars="0"/>
        <w:rPr>
          <w:rFonts w:hint="eastAsia" w:ascii="仿宋" w:hAnsi="仿宋" w:eastAsia="仿宋" w:cs="仿宋"/>
          <w:sz w:val="32"/>
          <w:szCs w:val="32"/>
        </w:rPr>
      </w:pPr>
    </w:p>
    <w:p>
      <w:pPr>
        <w:ind w:firstLine="0" w:firstLineChars="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佛山市南海区人民政府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sz w:val="32"/>
        </w:rPr>
        <w:pict>
          <v:shape id="文本框 8" o:spid="_x0000_s1030" o:spt="202" type="#_x0000_t202" style="position:absolute;left:0pt;margin-left:377.55pt;margin-top:50.15pt;height:28.5pt;width:65.25pt;z-index:251662336;mso-width-relative:page;mso-height-relative:page;" fillcolor="#FFFFFF" filled="t" stroked="t" coordsize="21600,21600">
            <v:path/>
            <v:fill on="t" focussize="0,0"/>
            <v:stroke color="#FFFFFF"/>
            <v:imagedata o:title=""/>
            <o:lock v:ext="edit" aspectratio="f"/>
            <v:textbox>
              <w:txbxContent>
                <w:p/>
              </w:txbxContent>
            </v:textbox>
          </v:shape>
        </w:pic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佛山市南海区地券管理暂行办法</w:t>
      </w: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0" w:firstLineChars="0"/>
        <w:jc w:val="both"/>
        <w:textAlignment w:val="auto"/>
        <w:rPr>
          <w:rFonts w:hint="eastAsia" w:ascii="仿宋" w:hAnsi="仿宋" w:eastAsia="仿宋" w:cs="仿宋"/>
          <w:b w:val="0"/>
          <w:bCs/>
          <w:sz w:val="32"/>
          <w:szCs w:val="32"/>
        </w:rPr>
      </w:pP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0" w:firstLineChars="0"/>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第一章</w:t>
      </w:r>
      <w:r>
        <w:rPr>
          <w:rFonts w:hint="eastAsia" w:ascii="方正小标宋简体" w:hAnsi="方正小标宋简体" w:eastAsia="方正小标宋简体" w:cs="方正小标宋简体"/>
          <w:b w:val="0"/>
          <w:bCs/>
          <w:sz w:val="32"/>
          <w:szCs w:val="32"/>
          <w:lang w:val="en-US"/>
        </w:rPr>
        <w:t xml:space="preserve"> </w:t>
      </w: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rPr>
        <w:t>总则</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第一条</w:t>
      </w:r>
      <w:r>
        <w:rPr>
          <w:rFonts w:hint="eastAsia" w:ascii="仿宋" w:hAnsi="仿宋" w:eastAsia="仿宋" w:cs="仿宋"/>
          <w:b/>
          <w:sz w:val="32"/>
          <w:szCs w:val="32"/>
        </w:rPr>
        <w:t xml:space="preserve">  </w:t>
      </w:r>
      <w:r>
        <w:rPr>
          <w:rFonts w:hint="eastAsia" w:ascii="仿宋" w:hAnsi="仿宋" w:eastAsia="仿宋" w:cs="仿宋"/>
          <w:sz w:val="32"/>
          <w:szCs w:val="32"/>
        </w:rPr>
        <w:t>为全面贯彻落实党的十九大提出的实施乡村振兴战略、促进城乡融合发展的决策部署，探索城乡融合发展新路径，深化农村土地制度改革试点和城乡建设用地增减挂钩政策，破解我区土地资源供需矛盾，助推产业转型升级和新型城镇化建设，制定本办法。</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第二条</w:t>
      </w:r>
      <w:r>
        <w:rPr>
          <w:rFonts w:hint="eastAsia" w:ascii="仿宋" w:hAnsi="仿宋" w:eastAsia="仿宋" w:cs="仿宋"/>
          <w:b/>
          <w:sz w:val="32"/>
          <w:szCs w:val="32"/>
        </w:rPr>
        <w:t xml:space="preserve">  </w:t>
      </w:r>
      <w:r>
        <w:rPr>
          <w:rFonts w:hint="eastAsia" w:ascii="仿宋" w:hAnsi="仿宋" w:eastAsia="仿宋" w:cs="仿宋"/>
          <w:sz w:val="32"/>
          <w:szCs w:val="32"/>
        </w:rPr>
        <w:t>佛山市南海区行政区域范围内地券的供应、交易及使用适用本办法。</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第三条</w:t>
      </w:r>
      <w:r>
        <w:rPr>
          <w:rFonts w:hint="eastAsia" w:ascii="仿宋" w:hAnsi="仿宋" w:eastAsia="仿宋" w:cs="仿宋"/>
          <w:b/>
          <w:sz w:val="32"/>
          <w:szCs w:val="32"/>
        </w:rPr>
        <w:t xml:space="preserve">  </w:t>
      </w:r>
      <w:r>
        <w:rPr>
          <w:rFonts w:hint="eastAsia" w:ascii="仿宋" w:hAnsi="仿宋" w:eastAsia="仿宋" w:cs="仿宋"/>
          <w:sz w:val="32"/>
          <w:szCs w:val="32"/>
        </w:rPr>
        <w:t>本办法所称地券，是指土地权利人自愿将其建设用地按规定复垦为农用地后，依据城乡建设用地增减挂钩相关政策形成的建设用地指标。</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第四条</w:t>
      </w:r>
      <w:r>
        <w:rPr>
          <w:rFonts w:hint="eastAsia" w:ascii="仿宋" w:hAnsi="仿宋" w:eastAsia="仿宋" w:cs="仿宋"/>
          <w:b/>
          <w:sz w:val="32"/>
          <w:szCs w:val="32"/>
        </w:rPr>
        <w:t xml:space="preserve">  </w:t>
      </w:r>
      <w:r>
        <w:rPr>
          <w:rFonts w:hint="eastAsia" w:ascii="仿宋" w:hAnsi="仿宋" w:eastAsia="仿宋" w:cs="仿宋"/>
          <w:sz w:val="32"/>
          <w:szCs w:val="32"/>
        </w:rPr>
        <w:t>地券管理应遵循风险可控、规划引导、自愿复垦、公开交易、保障权益的原则。</w:t>
      </w: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firstLineChars="0"/>
        <w:jc w:val="both"/>
        <w:textAlignment w:val="auto"/>
        <w:rPr>
          <w:rFonts w:hint="eastAsia" w:ascii="仿宋" w:hAnsi="仿宋" w:eastAsia="仿宋" w:cs="仿宋"/>
          <w:b w:val="0"/>
          <w:bCs/>
          <w:sz w:val="32"/>
          <w:szCs w:val="32"/>
        </w:rPr>
      </w:pP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firstLineChars="0"/>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第二章</w:t>
      </w: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lang w:val="en-US"/>
        </w:rPr>
        <w:t xml:space="preserve"> 建设用地复垦</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bCs/>
          <w:sz w:val="32"/>
          <w:szCs w:val="32"/>
        </w:rPr>
      </w:pPr>
      <w:r>
        <w:rPr>
          <w:rFonts w:hint="eastAsia" w:ascii="黑体" w:hAnsi="黑体" w:eastAsia="黑体" w:cs="黑体"/>
          <w:b w:val="0"/>
          <w:bCs/>
          <w:sz w:val="32"/>
          <w:szCs w:val="32"/>
        </w:rPr>
        <w:t>第五条</w:t>
      </w:r>
      <w:r>
        <w:rPr>
          <w:rFonts w:hint="eastAsia" w:ascii="仿宋" w:hAnsi="仿宋" w:eastAsia="仿宋" w:cs="仿宋"/>
          <w:b/>
          <w:sz w:val="32"/>
          <w:szCs w:val="32"/>
        </w:rPr>
        <w:t xml:space="preserve">  </w:t>
      </w:r>
      <w:r>
        <w:rPr>
          <w:rFonts w:hint="eastAsia" w:ascii="仿宋" w:hAnsi="仿宋" w:eastAsia="仿宋" w:cs="仿宋"/>
          <w:bCs/>
          <w:sz w:val="32"/>
          <w:szCs w:val="32"/>
        </w:rPr>
        <w:t>区国土部门应根据城镇化发展需要、经济社会发展水平、建设用地复垦周期等因素，科学编制土地整治规划，合理测算建设用地复垦潜力，引导建设用地有序复垦。</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b/>
          <w:sz w:val="32"/>
          <w:szCs w:val="32"/>
        </w:rPr>
      </w:pPr>
      <w:r>
        <w:rPr>
          <w:rFonts w:hint="eastAsia" w:ascii="黑体" w:hAnsi="黑体" w:eastAsia="黑体" w:cs="黑体"/>
          <w:b w:val="0"/>
          <w:bCs/>
          <w:sz w:val="32"/>
          <w:szCs w:val="32"/>
        </w:rPr>
        <w:t xml:space="preserve">第六条 </w:t>
      </w:r>
      <w:r>
        <w:rPr>
          <w:rFonts w:hint="eastAsia" w:ascii="仿宋" w:hAnsi="仿宋" w:eastAsia="仿宋" w:cs="仿宋"/>
          <w:b/>
          <w:sz w:val="32"/>
          <w:szCs w:val="32"/>
        </w:rPr>
        <w:t xml:space="preserve"> </w:t>
      </w:r>
      <w:r>
        <w:rPr>
          <w:rFonts w:hint="eastAsia" w:ascii="仿宋" w:hAnsi="仿宋" w:eastAsia="仿宋" w:cs="仿宋"/>
          <w:sz w:val="32"/>
          <w:szCs w:val="32"/>
        </w:rPr>
        <w:t>集体建设用地复垦主体为土地所有权人，农村集体经济组织可委托镇（街道）或公有企业申请复垦，申请复垦需按照相关法律法规和股份社章程经由集体表决同意；国有建设用地复垦主体为土地使用权人，属于区、镇</w:t>
      </w:r>
      <w:r>
        <w:rPr>
          <w:rFonts w:hint="eastAsia" w:ascii="仿宋" w:hAnsi="仿宋" w:eastAsia="仿宋" w:cs="仿宋"/>
          <w:sz w:val="32"/>
          <w:szCs w:val="32"/>
          <w:lang w:eastAsia="zh-CN"/>
        </w:rPr>
        <w:t>（街道）</w:t>
      </w:r>
      <w:r>
        <w:rPr>
          <w:rFonts w:hint="eastAsia" w:ascii="仿宋" w:hAnsi="仿宋" w:eastAsia="仿宋" w:cs="仿宋"/>
          <w:sz w:val="32"/>
          <w:szCs w:val="32"/>
        </w:rPr>
        <w:t>储备用地的，由同级人民政府或委托镇</w:t>
      </w:r>
      <w:r>
        <w:rPr>
          <w:rFonts w:hint="eastAsia" w:ascii="仿宋" w:hAnsi="仿宋" w:eastAsia="仿宋" w:cs="仿宋"/>
          <w:sz w:val="32"/>
          <w:szCs w:val="32"/>
          <w:lang w:eastAsia="zh-CN"/>
        </w:rPr>
        <w:t>（街道）</w:t>
      </w:r>
      <w:r>
        <w:rPr>
          <w:rFonts w:hint="eastAsia" w:ascii="仿宋" w:hAnsi="仿宋" w:eastAsia="仿宋" w:cs="仿宋"/>
          <w:sz w:val="32"/>
          <w:szCs w:val="32"/>
        </w:rPr>
        <w:t>属企业作为复垦主体。</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第七条</w:t>
      </w:r>
      <w:r>
        <w:rPr>
          <w:rFonts w:hint="eastAsia" w:ascii="仿宋" w:hAnsi="仿宋" w:eastAsia="仿宋" w:cs="仿宋"/>
          <w:b/>
          <w:sz w:val="32"/>
          <w:szCs w:val="32"/>
        </w:rPr>
        <w:t xml:space="preserve">  </w:t>
      </w:r>
      <w:r>
        <w:rPr>
          <w:rFonts w:hint="eastAsia" w:ascii="仿宋" w:hAnsi="仿宋" w:eastAsia="仿宋" w:cs="仿宋"/>
          <w:sz w:val="32"/>
          <w:szCs w:val="32"/>
        </w:rPr>
        <w:t>申请复垦土地应当同时具备以下条件：</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（一）第二次全国土地调查中现状为建设用地；</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（二）面积具有一定规模，具备与现状农用地连片生产的条件；</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（三）土地权属清晰，无争议。</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第八条</w:t>
      </w:r>
      <w:r>
        <w:rPr>
          <w:rFonts w:hint="eastAsia" w:ascii="仿宋" w:hAnsi="仿宋" w:eastAsia="仿宋" w:cs="仿宋"/>
          <w:b/>
          <w:sz w:val="32"/>
          <w:szCs w:val="32"/>
        </w:rPr>
        <w:t xml:space="preserve">  </w:t>
      </w:r>
      <w:r>
        <w:rPr>
          <w:rFonts w:hint="eastAsia" w:ascii="仿宋" w:hAnsi="仿宋" w:eastAsia="仿宋" w:cs="仿宋"/>
          <w:sz w:val="32"/>
          <w:szCs w:val="32"/>
        </w:rPr>
        <w:t>有下列情形之一的建设用地，不得复垦用于地券交易：</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（一）中国传统村落、历史文化名村或其他属于保护范围内的建设用地，未经文化部门审核同意的；</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（二）正在立案查处的违法建设用地或权利依法受到限制的建设用地；</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（三）临时建设用地；</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（四）其他不宜复垦的情形。</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第九条</w:t>
      </w:r>
      <w:r>
        <w:rPr>
          <w:rFonts w:hint="eastAsia" w:ascii="仿宋" w:hAnsi="仿宋" w:eastAsia="仿宋" w:cs="仿宋"/>
          <w:b/>
          <w:sz w:val="32"/>
          <w:szCs w:val="32"/>
        </w:rPr>
        <w:t xml:space="preserve">  </w:t>
      </w:r>
      <w:r>
        <w:rPr>
          <w:rFonts w:hint="eastAsia" w:ascii="仿宋" w:hAnsi="仿宋" w:eastAsia="仿宋" w:cs="仿宋"/>
          <w:sz w:val="32"/>
          <w:szCs w:val="32"/>
        </w:rPr>
        <w:t>申请复垦主体向所在镇（街道）国土部门提出申请。申请时提供以下资料：</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（一）复垦申请书；</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（二）土地权利人的有效身份证明文件，委托申请的，需提供委托书和被委托人的组织机构代码证、法人身份证明文件等；</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（三）土地权属证明材料；</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（四）土地复垦项目规划实施方案；</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（五）需要提交的其他材料。</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除前款规定资料外，申请复垦集体建设用地的，应提供集体依法表决同意的</w:t>
      </w:r>
      <w:r>
        <w:rPr>
          <w:rFonts w:hint="eastAsia" w:ascii="仿宋" w:hAnsi="仿宋" w:eastAsia="仿宋" w:cs="仿宋"/>
          <w:sz w:val="32"/>
          <w:szCs w:val="32"/>
          <w:lang w:eastAsia="zh-CN"/>
        </w:rPr>
        <w:t>相关</w:t>
      </w:r>
      <w:r>
        <w:rPr>
          <w:rFonts w:hint="eastAsia" w:ascii="仿宋" w:hAnsi="仿宋" w:eastAsia="仿宋" w:cs="仿宋"/>
          <w:sz w:val="32"/>
          <w:szCs w:val="32"/>
        </w:rPr>
        <w:t>书面材料；公有企业申请复垦的，应出具上级主管部门同意复垦的书面材料。申请复垦主体需在复垦申请书中明确同意建设用地复垦验收合格后，取消相应建设用地批文中农转用效力，并注销集体土地使用证（或国有建设用地使用权证）。</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第十条</w:t>
      </w:r>
      <w:r>
        <w:rPr>
          <w:rFonts w:hint="eastAsia" w:ascii="仿宋" w:hAnsi="仿宋" w:eastAsia="仿宋" w:cs="仿宋"/>
          <w:b/>
          <w:sz w:val="32"/>
          <w:szCs w:val="32"/>
        </w:rPr>
        <w:t xml:space="preserve">  </w:t>
      </w:r>
      <w:r>
        <w:rPr>
          <w:rFonts w:hint="eastAsia" w:ascii="仿宋" w:hAnsi="仿宋" w:eastAsia="仿宋" w:cs="仿宋"/>
          <w:sz w:val="32"/>
          <w:szCs w:val="32"/>
        </w:rPr>
        <w:t>镇（街道）国土部门收到全部复垦申请资料之日起15个工作日内完成初审，经镇（街道）同意后，报区国土部门审核。区国土部门会同农林渔业部门综合考虑土地利用总体规划、各镇（街道）产业发展需要、建设用地复垦的条件和周期等因素审核通过后，报区人民政府批准。</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第十一条</w:t>
      </w:r>
      <w:r>
        <w:rPr>
          <w:rFonts w:hint="eastAsia" w:ascii="仿宋" w:hAnsi="仿宋" w:eastAsia="仿宋" w:cs="仿宋"/>
          <w:b/>
          <w:sz w:val="32"/>
          <w:szCs w:val="32"/>
        </w:rPr>
        <w:t xml:space="preserve">  </w:t>
      </w:r>
      <w:r>
        <w:rPr>
          <w:rFonts w:hint="eastAsia" w:ascii="仿宋" w:hAnsi="仿宋" w:eastAsia="仿宋" w:cs="仿宋"/>
          <w:sz w:val="32"/>
          <w:szCs w:val="32"/>
        </w:rPr>
        <w:t>鼓励镇（街道）及公有企业与农村集体经济组织签订委托整治协议，明确权利义务、收益分配等内容，统筹开展建设用地复垦工作。复垦主体也可自行复垦或委托专业第三方进行复垦。建设用地复垦后，形成的农用地和耕地应符合上级有关要求。</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第十二条</w:t>
      </w:r>
      <w:r>
        <w:rPr>
          <w:rFonts w:hint="eastAsia" w:ascii="仿宋" w:hAnsi="仿宋" w:eastAsia="仿宋" w:cs="仿宋"/>
          <w:b/>
          <w:sz w:val="32"/>
          <w:szCs w:val="32"/>
        </w:rPr>
        <w:t xml:space="preserve">  </w:t>
      </w:r>
      <w:r>
        <w:rPr>
          <w:rFonts w:hint="eastAsia" w:ascii="仿宋" w:hAnsi="仿宋" w:eastAsia="仿宋" w:cs="仿宋"/>
          <w:sz w:val="32"/>
          <w:szCs w:val="32"/>
        </w:rPr>
        <w:t>复垦项目竣工后，区国土部门负责根据项目实施方案、复垦验收标准等，会同农林渔业等部门和镇（街道）进行初步验收。初步验收合格的，报上级部门验收。</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第十三条</w:t>
      </w:r>
      <w:r>
        <w:rPr>
          <w:rFonts w:hint="eastAsia" w:ascii="仿宋" w:hAnsi="仿宋" w:eastAsia="仿宋" w:cs="仿宋"/>
          <w:b/>
          <w:sz w:val="32"/>
          <w:szCs w:val="32"/>
        </w:rPr>
        <w:t xml:space="preserve">  </w:t>
      </w:r>
      <w:r>
        <w:rPr>
          <w:rFonts w:hint="eastAsia" w:ascii="仿宋" w:hAnsi="仿宋" w:eastAsia="仿宋" w:cs="仿宋"/>
          <w:sz w:val="32"/>
          <w:szCs w:val="32"/>
        </w:rPr>
        <w:t>集体建设用地复垦为农用地后，由原土地所有权人进行管理，国有建设用地复垦为农用地后，由原土地使用权人进行管理。擅自建设或破坏种植条件的按非法占用农用地或非法破坏农用地行为进行查处。</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第十四条</w:t>
      </w:r>
      <w:r>
        <w:rPr>
          <w:rFonts w:hint="eastAsia" w:ascii="仿宋" w:hAnsi="仿宋" w:eastAsia="仿宋" w:cs="仿宋"/>
          <w:b/>
          <w:sz w:val="32"/>
          <w:szCs w:val="32"/>
        </w:rPr>
        <w:t xml:space="preserve">  </w:t>
      </w:r>
      <w:r>
        <w:rPr>
          <w:rFonts w:hint="eastAsia" w:ascii="仿宋" w:hAnsi="仿宋" w:eastAsia="仿宋" w:cs="仿宋"/>
          <w:sz w:val="32"/>
          <w:szCs w:val="32"/>
        </w:rPr>
        <w:t>验收合格的，区国土部门将复垦项目实施相关信息进行公示，公示时间不少于7个工作日。公示期内利害关系人有异议的，区国土部门应会同有关部门在7个工作日内组织复核；公示期内无异议或经复核异议消除的，由区国土部门向原土地权利人核发《建设用地退出证明书》。</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验收不合格的，由区国土部门</w:t>
      </w:r>
      <w:r>
        <w:rPr>
          <w:rFonts w:hint="eastAsia" w:ascii="仿宋" w:hAnsi="仿宋" w:eastAsia="仿宋" w:cs="仿宋"/>
          <w:sz w:val="32"/>
          <w:szCs w:val="32"/>
          <w:shd w:val="clear" w:color="auto" w:fill="FFFFFF"/>
        </w:rPr>
        <w:t>向复垦主体出具书面整改意</w:t>
      </w:r>
      <w:r>
        <w:rPr>
          <w:rFonts w:hint="eastAsia" w:ascii="仿宋" w:hAnsi="仿宋" w:eastAsia="仿宋" w:cs="仿宋"/>
          <w:sz w:val="32"/>
          <w:szCs w:val="32"/>
        </w:rPr>
        <w:t>见，列明整改事项，复垦主体整改完成后重新申请验收。</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第十五条</w:t>
      </w:r>
      <w:r>
        <w:rPr>
          <w:rFonts w:hint="eastAsia" w:ascii="仿宋" w:hAnsi="仿宋" w:eastAsia="仿宋" w:cs="仿宋"/>
          <w:b/>
          <w:sz w:val="32"/>
          <w:szCs w:val="32"/>
        </w:rPr>
        <w:t xml:space="preserve">  </w:t>
      </w:r>
      <w:r>
        <w:rPr>
          <w:rFonts w:hint="eastAsia" w:ascii="仿宋" w:hAnsi="仿宋" w:eastAsia="仿宋" w:cs="仿宋"/>
          <w:sz w:val="32"/>
          <w:szCs w:val="32"/>
        </w:rPr>
        <w:t>区国土部门负责建立地券管理台账，根据核发《建设用地退出证明书》情况更新和管理台账，构建地券管理信息系统。</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第十六条</w:t>
      </w:r>
      <w:r>
        <w:rPr>
          <w:rFonts w:hint="eastAsia" w:ascii="仿宋" w:hAnsi="仿宋" w:eastAsia="仿宋" w:cs="仿宋"/>
          <w:b/>
          <w:sz w:val="32"/>
          <w:szCs w:val="32"/>
        </w:rPr>
        <w:t xml:space="preserve">  </w:t>
      </w:r>
      <w:r>
        <w:rPr>
          <w:rFonts w:hint="eastAsia" w:ascii="仿宋" w:hAnsi="仿宋" w:eastAsia="仿宋" w:cs="仿宋"/>
          <w:sz w:val="32"/>
          <w:szCs w:val="32"/>
        </w:rPr>
        <w:t>建设用地复垦验收合格的，取消相应建设用地批文中农转用效力，注销集体土地使用证（或国有建设用地使用权证），并在年度变更调查中按农用地予以变更。</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highlight w:val="cyan"/>
        </w:rPr>
      </w:pPr>
      <w:r>
        <w:rPr>
          <w:rFonts w:hint="eastAsia" w:ascii="黑体" w:hAnsi="黑体" w:eastAsia="黑体" w:cs="黑体"/>
          <w:b w:val="0"/>
          <w:bCs/>
          <w:sz w:val="32"/>
          <w:szCs w:val="32"/>
        </w:rPr>
        <w:t>第十七条</w:t>
      </w:r>
      <w:r>
        <w:rPr>
          <w:rFonts w:hint="eastAsia" w:ascii="仿宋" w:hAnsi="仿宋" w:eastAsia="仿宋" w:cs="仿宋"/>
          <w:sz w:val="32"/>
          <w:szCs w:val="32"/>
        </w:rPr>
        <w:t xml:space="preserve">  经省国土部门验收确认为耕地的，其产生的补充耕地指标由区人民政府按照耕地开垦费标准进行统一回购。</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bCs/>
          <w:sz w:val="32"/>
          <w:szCs w:val="32"/>
        </w:rPr>
      </w:pP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firstLineChars="0"/>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第三章</w:t>
      </w:r>
      <w:r>
        <w:rPr>
          <w:rFonts w:hint="eastAsia" w:ascii="方正小标宋简体" w:hAnsi="方正小标宋简体" w:eastAsia="方正小标宋简体" w:cs="方正小标宋简体"/>
          <w:b w:val="0"/>
          <w:bCs/>
          <w:sz w:val="32"/>
          <w:szCs w:val="32"/>
          <w:lang w:val="en-US"/>
        </w:rPr>
        <w:t xml:space="preserve"> </w:t>
      </w: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lang w:val="en-US"/>
        </w:rPr>
        <w:t>地券交易</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第十八条</w:t>
      </w:r>
      <w:r>
        <w:rPr>
          <w:rFonts w:hint="eastAsia" w:ascii="仿宋" w:hAnsi="仿宋" w:eastAsia="仿宋" w:cs="仿宋"/>
          <w:sz w:val="32"/>
          <w:szCs w:val="32"/>
        </w:rPr>
        <w:t xml:space="preserve">  地券出让主体是通过建设用地复垦，取得《建设用地退出证明书》的土地权利人。土地权利人须委托所在地镇（街道）申请出让地券。</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第十九条</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地券出让主体</w:t>
      </w:r>
      <w:r>
        <w:rPr>
          <w:rFonts w:hint="eastAsia" w:ascii="仿宋" w:hAnsi="仿宋" w:eastAsia="仿宋" w:cs="仿宋"/>
          <w:sz w:val="32"/>
          <w:szCs w:val="32"/>
          <w:lang w:eastAsia="zh-CN"/>
        </w:rPr>
        <w:t>所在地镇（街道）</w:t>
      </w:r>
      <w:r>
        <w:rPr>
          <w:rFonts w:hint="eastAsia" w:ascii="仿宋" w:hAnsi="仿宋" w:eastAsia="仿宋" w:cs="仿宋"/>
          <w:sz w:val="32"/>
          <w:szCs w:val="32"/>
        </w:rPr>
        <w:t>向区国土部门提出出让申请，需提供以下资料：</w:t>
      </w:r>
    </w:p>
    <w:p>
      <w:pPr>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地券出让申请书；</w:t>
      </w:r>
    </w:p>
    <w:p>
      <w:pPr>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区国土部门核发的《建设用地退出证明书》；</w:t>
      </w:r>
    </w:p>
    <w:p>
      <w:pPr>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土地权利人的组织机构代码证、法人身份证明文件、委托书等；</w:t>
      </w:r>
    </w:p>
    <w:p>
      <w:pPr>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涉及集体建设用地复垦产生的地券申请交易的，需提供集体依法表决同意的</w:t>
      </w:r>
      <w:r>
        <w:rPr>
          <w:rFonts w:hint="eastAsia" w:ascii="仿宋" w:hAnsi="仿宋" w:eastAsia="仿宋" w:cs="仿宋"/>
          <w:sz w:val="32"/>
          <w:szCs w:val="32"/>
          <w:lang w:eastAsia="zh-CN"/>
        </w:rPr>
        <w:t>相关</w:t>
      </w:r>
      <w:r>
        <w:rPr>
          <w:rFonts w:hint="eastAsia" w:ascii="仿宋" w:hAnsi="仿宋" w:eastAsia="仿宋" w:cs="仿宋"/>
          <w:sz w:val="32"/>
          <w:szCs w:val="32"/>
        </w:rPr>
        <w:t>书面材料；</w:t>
      </w:r>
    </w:p>
    <w:p>
      <w:pPr>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需要提交的其他材料。</w:t>
      </w:r>
    </w:p>
    <w:p>
      <w:pPr>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区国土部门根据市场供需情况向市公共资源交易中心南海分中心（以下简称“区公共资源交易中心”）申请组织地券公开交易。</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第二十条</w:t>
      </w:r>
      <w:r>
        <w:rPr>
          <w:rFonts w:hint="eastAsia" w:ascii="仿宋" w:hAnsi="仿宋" w:eastAsia="仿宋" w:cs="仿宋"/>
          <w:b/>
          <w:sz w:val="32"/>
          <w:szCs w:val="32"/>
        </w:rPr>
        <w:t xml:space="preserve">  </w:t>
      </w:r>
      <w:r>
        <w:rPr>
          <w:rFonts w:hint="eastAsia" w:ascii="仿宋" w:hAnsi="仿宋" w:eastAsia="仿宋" w:cs="仿宋"/>
          <w:sz w:val="32"/>
          <w:szCs w:val="32"/>
        </w:rPr>
        <w:t>区公共资源交易管理委员会土地交易专责组根据市场供需等综合</w:t>
      </w:r>
      <w:r>
        <w:rPr>
          <w:rFonts w:hint="eastAsia" w:ascii="仿宋" w:hAnsi="仿宋" w:eastAsia="仿宋" w:cs="仿宋"/>
          <w:sz w:val="32"/>
          <w:szCs w:val="32"/>
          <w:lang w:eastAsia="zh-CN"/>
        </w:rPr>
        <w:t>因素</w:t>
      </w:r>
      <w:r>
        <w:rPr>
          <w:rFonts w:hint="eastAsia" w:ascii="仿宋" w:hAnsi="仿宋" w:eastAsia="仿宋" w:cs="仿宋"/>
          <w:sz w:val="32"/>
          <w:szCs w:val="32"/>
        </w:rPr>
        <w:t>确定地券交易底价。</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第二十一条</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区公共资源交易中心通过报纸、网站等媒介向社会公开发布地券交易公告，公告交易总面积、交易时间、交易起始价、竞买保证金及交易规则等信息。地券交易公告时间不得少于10个工作日，公告期满可组织地券交易。</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第二十二条</w:t>
      </w:r>
      <w:r>
        <w:rPr>
          <w:rFonts w:hint="eastAsia" w:ascii="仿宋" w:hAnsi="仿宋" w:eastAsia="仿宋" w:cs="仿宋"/>
          <w:sz w:val="32"/>
          <w:szCs w:val="32"/>
        </w:rPr>
        <w:t xml:space="preserve">  地券竞购主体是新增建设用地的需求方，包括区土地房屋征收部门、镇人民政府（街道办事处）、农村集体经济组织等。</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第二十三条</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竞购主体向区公共资源交易中心提出竞购申请，需提供以下资料：</w:t>
      </w:r>
    </w:p>
    <w:p>
      <w:pPr>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bCs/>
          <w:sz w:val="32"/>
          <w:szCs w:val="32"/>
        </w:rPr>
      </w:pPr>
      <w:r>
        <w:rPr>
          <w:rFonts w:hint="eastAsia" w:ascii="仿宋" w:hAnsi="仿宋" w:eastAsia="仿宋" w:cs="仿宋"/>
          <w:bCs/>
          <w:sz w:val="32"/>
          <w:szCs w:val="32"/>
        </w:rPr>
        <w:t>申请购买文件（明确拟竞购地券的规模、意向成交价格等）；</w:t>
      </w:r>
    </w:p>
    <w:p>
      <w:pPr>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bCs/>
          <w:sz w:val="32"/>
          <w:szCs w:val="32"/>
        </w:rPr>
      </w:pPr>
      <w:r>
        <w:rPr>
          <w:rFonts w:hint="eastAsia" w:ascii="仿宋" w:hAnsi="仿宋" w:eastAsia="仿宋" w:cs="仿宋"/>
          <w:bCs/>
          <w:sz w:val="32"/>
          <w:szCs w:val="32"/>
        </w:rPr>
        <w:t>申请竞购主体组织机构代码证</w:t>
      </w:r>
      <w:r>
        <w:rPr>
          <w:rFonts w:hint="eastAsia" w:ascii="仿宋" w:hAnsi="仿宋" w:eastAsia="仿宋" w:cs="仿宋"/>
          <w:sz w:val="32"/>
          <w:szCs w:val="32"/>
        </w:rPr>
        <w:t>、法人身份证明文件等</w:t>
      </w:r>
      <w:r>
        <w:rPr>
          <w:rFonts w:hint="eastAsia" w:ascii="仿宋" w:hAnsi="仿宋" w:eastAsia="仿宋" w:cs="仿宋"/>
          <w:bCs/>
          <w:sz w:val="32"/>
          <w:szCs w:val="32"/>
        </w:rPr>
        <w:t>；</w:t>
      </w:r>
    </w:p>
    <w:p>
      <w:pPr>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bCs/>
          <w:sz w:val="32"/>
          <w:szCs w:val="32"/>
        </w:rPr>
      </w:pPr>
      <w:r>
        <w:rPr>
          <w:rFonts w:hint="eastAsia" w:ascii="仿宋" w:hAnsi="仿宋" w:eastAsia="仿宋" w:cs="仿宋"/>
          <w:bCs/>
          <w:sz w:val="32"/>
          <w:szCs w:val="32"/>
        </w:rPr>
        <w:t>区国土部门审核意见；</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（四）需要提交的其他材料。</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符合条件的竞购主体，应在规定时间内交纳竞买保证金。</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第二十四条</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地券交易可采取招标、挂牌、拍卖方式进行，交易实施细则</w:t>
      </w:r>
      <w:r>
        <w:rPr>
          <w:rFonts w:hint="eastAsia" w:ascii="仿宋" w:hAnsi="仿宋" w:eastAsia="仿宋" w:cs="仿宋"/>
          <w:kern w:val="0"/>
          <w:sz w:val="32"/>
          <w:szCs w:val="32"/>
        </w:rPr>
        <w:t>另行发文规定</w:t>
      </w:r>
      <w:r>
        <w:rPr>
          <w:rFonts w:hint="eastAsia" w:ascii="仿宋" w:hAnsi="仿宋" w:eastAsia="仿宋" w:cs="仿宋"/>
          <w:sz w:val="32"/>
          <w:szCs w:val="32"/>
        </w:rPr>
        <w:t>。</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outlineLvl w:val="1"/>
        <w:rPr>
          <w:rFonts w:hint="eastAsia" w:ascii="仿宋" w:hAnsi="仿宋" w:eastAsia="仿宋" w:cs="仿宋"/>
          <w:sz w:val="32"/>
          <w:szCs w:val="32"/>
        </w:rPr>
      </w:pPr>
      <w:r>
        <w:rPr>
          <w:rFonts w:hint="eastAsia" w:ascii="仿宋" w:hAnsi="仿宋" w:eastAsia="仿宋" w:cs="仿宋"/>
          <w:sz w:val="32"/>
          <w:szCs w:val="32"/>
        </w:rPr>
        <w:t>各镇（街道）辖区范围内土地权利人复垦并取得《建设用地退出证明书》的，可根据实际发展需求，安排不超过30%的地券由本镇（街道）统筹使用，剩余地券须通过区公共交易平台进行公开交易。地券的出让主体不能同时作为竞购主体出现在同一批次的交易活动。</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第二十五条</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地券成交后，竞得人与区交易中心应在3个工作日内签订《成交确认书》，成交的具体信息应当进行公示，公示时间为5个工作日。成交结果公示期满无异议或经调查异议排除的，区国土部门与竞得人应在公示期满之日起5个工作日内签订《地券交易合同》。</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签订《地券交易合同》后，地券竞得人应在30个工作日内缴清地券价款和有关费用，竞得人缴纳的保证金自动转为交易价款，缴清地券价款和有关费用的竞得人获得区国土部门印发的地券。逾期未缴清地券价款的，视为主动放弃购买地券，已缴纳的保证金不予退还。未竞得人缴纳的保证金应于交易结束后10个工作日内原路退还至竞购主体账户。</w:t>
      </w: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firstLineChars="0"/>
        <w:jc w:val="both"/>
        <w:textAlignment w:val="auto"/>
        <w:rPr>
          <w:rFonts w:hint="eastAsia" w:ascii="仿宋" w:hAnsi="仿宋" w:eastAsia="仿宋" w:cs="仿宋"/>
          <w:b w:val="0"/>
          <w:bCs/>
          <w:sz w:val="32"/>
          <w:szCs w:val="32"/>
        </w:rPr>
      </w:pP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en-US"/>
        </w:rPr>
        <w:t xml:space="preserve"> 地券使用</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第二十六条</w:t>
      </w:r>
      <w:r>
        <w:rPr>
          <w:rFonts w:hint="eastAsia" w:ascii="仿宋" w:hAnsi="仿宋" w:eastAsia="仿宋" w:cs="仿宋"/>
          <w:sz w:val="32"/>
          <w:szCs w:val="32"/>
        </w:rPr>
        <w:t xml:space="preserve">  地券使用须符合土地利用总体规划、城乡规划等要求。地券权利人可以一次性使用或者分割使用地券，不得私下转让地券。使用地券时，应当提供地券原件，区国土部门在地券上记载地券使用信息，地券记载的面积全部使用完后，区国土部门予以注销。</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第二十七条</w:t>
      </w:r>
      <w:r>
        <w:rPr>
          <w:rFonts w:hint="eastAsia" w:ascii="仿宋" w:hAnsi="仿宋" w:eastAsia="仿宋" w:cs="仿宋"/>
          <w:sz w:val="32"/>
          <w:szCs w:val="32"/>
        </w:rPr>
        <w:t xml:space="preserve">  签订地券交易合同后1年内，地券受让方应组织办理用地报批手续，逾期未组织办理用地报批手续的，不允许继续参与地券交易。</w:t>
      </w:r>
    </w:p>
    <w:p>
      <w:pPr>
        <w:pageBreakBefore w:val="0"/>
        <w:widowControl w:val="0"/>
        <w:kinsoku/>
        <w:wordWrap/>
        <w:overflowPunct/>
        <w:topLinePunct w:val="0"/>
        <w:autoSpaceDE/>
        <w:autoSpaceDN/>
        <w:bidi w:val="0"/>
        <w:adjustRightInd/>
        <w:snapToGrid w:val="0"/>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办理农转用报批手续涉及占用耕地的，需依照相关规定办理手续，严格落实占补平衡要求。</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第二十八条</w:t>
      </w:r>
      <w:r>
        <w:rPr>
          <w:rFonts w:hint="eastAsia" w:ascii="仿宋" w:hAnsi="仿宋" w:eastAsia="仿宋" w:cs="仿宋"/>
          <w:sz w:val="32"/>
          <w:szCs w:val="32"/>
        </w:rPr>
        <w:t xml:space="preserve">  除上级安排专项指标的，新增集体经营性建设用地、征地留用地办理相关用地手续，需使用地券。其他新增建设用地可以使用地券办理相关用地手续。区人民政府可以根据社会经济发展需要，对应当使用地券的用地类型进行调整。</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第二十九条</w:t>
      </w:r>
      <w:r>
        <w:rPr>
          <w:rFonts w:hint="eastAsia" w:ascii="仿宋" w:hAnsi="仿宋" w:eastAsia="仿宋" w:cs="仿宋"/>
          <w:sz w:val="32"/>
          <w:szCs w:val="32"/>
        </w:rPr>
        <w:t xml:space="preserve">  地券灭失、遗失的，地券权利人应当在指定媒体上刊登灭失、遗失声明，声明期满30日后可以向区国土部门申请补发。补发的地券应当注明“补发”字样。</w:t>
      </w: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jc w:val="both"/>
        <w:textAlignment w:val="auto"/>
        <w:rPr>
          <w:rFonts w:hint="eastAsia" w:ascii="仿宋" w:hAnsi="仿宋" w:eastAsia="仿宋" w:cs="仿宋"/>
          <w:b w:val="0"/>
          <w:bCs/>
          <w:sz w:val="32"/>
          <w:szCs w:val="32"/>
        </w:rPr>
      </w:pP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第五章</w:t>
      </w:r>
      <w:r>
        <w:rPr>
          <w:rFonts w:hint="eastAsia" w:ascii="方正小标宋简体" w:hAnsi="方正小标宋简体" w:eastAsia="方正小标宋简体" w:cs="方正小标宋简体"/>
          <w:b w:val="0"/>
          <w:bCs/>
          <w:sz w:val="32"/>
          <w:szCs w:val="32"/>
          <w:lang w:val="en-US"/>
        </w:rPr>
        <w:t xml:space="preserve"> </w:t>
      </w: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rPr>
        <w:t>管理和监督</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第三十条</w:t>
      </w:r>
      <w:r>
        <w:rPr>
          <w:rFonts w:hint="eastAsia" w:ascii="仿宋" w:hAnsi="仿宋" w:eastAsia="仿宋" w:cs="仿宋"/>
          <w:sz w:val="32"/>
          <w:szCs w:val="32"/>
        </w:rPr>
        <w:t xml:space="preserve">  区国土部门负责牵头制定复垦年度计划，组织相关部门进行复垦初验，地券确认、管理、监督使用等工作，拟定地券交易实施细则等配套文件。区农林渔业部门负责建设用地复垦的技术指导，指导复垦后农用地的开发和利用，引导现代农业的发展，参与复垦项目初验等工作。区财政部门负责参与复垦项目初验，并根据实际需要落实地券交易资金账户设立、交易资金监管等工作。区交易中心负责组织地券交易活动。区规划部门负责监督地券受让人按有关城乡规划用途使用。镇（街</w:t>
      </w:r>
      <w:r>
        <w:rPr>
          <w:rFonts w:hint="eastAsia" w:ascii="仿宋" w:hAnsi="仿宋" w:eastAsia="仿宋" w:cs="仿宋"/>
          <w:sz w:val="32"/>
          <w:szCs w:val="32"/>
          <w:lang w:eastAsia="zh-CN"/>
        </w:rPr>
        <w:t>道</w:t>
      </w:r>
      <w:r>
        <w:rPr>
          <w:rFonts w:hint="eastAsia" w:ascii="仿宋" w:hAnsi="仿宋" w:eastAsia="仿宋" w:cs="仿宋"/>
          <w:sz w:val="32"/>
          <w:szCs w:val="32"/>
        </w:rPr>
        <w:t>）负责组织实施本辖区建设用地复垦，并对复垦后形成的农用地的管理和利用实施监督。区环保、发改、公资办、城乡统筹办、审计、征</w:t>
      </w:r>
      <w:r>
        <w:rPr>
          <w:rFonts w:hint="eastAsia" w:ascii="仿宋" w:hAnsi="仿宋" w:eastAsia="仿宋" w:cs="仿宋"/>
          <w:sz w:val="32"/>
          <w:szCs w:val="32"/>
          <w:lang w:eastAsia="zh-CN"/>
        </w:rPr>
        <w:t>拆办</w:t>
      </w:r>
      <w:r>
        <w:rPr>
          <w:rFonts w:hint="eastAsia" w:ascii="仿宋" w:hAnsi="仿宋" w:eastAsia="仿宋" w:cs="仿宋"/>
          <w:sz w:val="32"/>
          <w:szCs w:val="32"/>
        </w:rPr>
        <w:t>等部门结合自身职责配合开展地券工作。</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第三十一条</w:t>
      </w:r>
      <w:r>
        <w:rPr>
          <w:rFonts w:hint="eastAsia" w:ascii="仿宋" w:hAnsi="仿宋" w:eastAsia="仿宋" w:cs="仿宋"/>
          <w:sz w:val="32"/>
          <w:szCs w:val="32"/>
        </w:rPr>
        <w:t xml:space="preserve">  区国土部门负责对地券信息的准确性、竞购主体的备案信息、地券交易后的使用情况进行监督和检查，对地券交易的真实性和合法性进行检查。</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第三十二条</w:t>
      </w:r>
      <w:r>
        <w:rPr>
          <w:rFonts w:hint="eastAsia" w:ascii="仿宋" w:hAnsi="仿宋" w:eastAsia="仿宋" w:cs="仿宋"/>
          <w:sz w:val="32"/>
          <w:szCs w:val="32"/>
        </w:rPr>
        <w:t xml:space="preserve">  有下列情形之一的，其交易结果无效。构成犯罪的，依法追究刑事责任；尚不构成犯罪的，依法给予行政处分：</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（一）参加地券交易活动的单位提供了虚假材料骗取成交；</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（二）参加地券交易活动的单位互相串通，操纵地券交易活动；</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（三）地券交易机构及其工作人员徇私舞弊和利用其它手段为有关单位骗取成交的。</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b/>
          <w:sz w:val="32"/>
          <w:szCs w:val="32"/>
        </w:rPr>
      </w:pPr>
      <w:r>
        <w:rPr>
          <w:rFonts w:hint="eastAsia" w:ascii="黑体" w:hAnsi="黑体" w:eastAsia="黑体" w:cs="黑体"/>
          <w:b w:val="0"/>
          <w:bCs/>
          <w:sz w:val="32"/>
          <w:szCs w:val="32"/>
        </w:rPr>
        <w:t>第三十三条</w:t>
      </w:r>
      <w:r>
        <w:rPr>
          <w:rFonts w:hint="eastAsia" w:ascii="仿宋" w:hAnsi="仿宋" w:eastAsia="仿宋" w:cs="仿宋"/>
          <w:b/>
          <w:sz w:val="32"/>
          <w:szCs w:val="32"/>
        </w:rPr>
        <w:t xml:space="preserve">  </w:t>
      </w:r>
      <w:r>
        <w:rPr>
          <w:rFonts w:hint="eastAsia" w:ascii="仿宋" w:hAnsi="仿宋" w:eastAsia="仿宋" w:cs="仿宋"/>
          <w:bCs/>
          <w:sz w:val="32"/>
          <w:szCs w:val="32"/>
        </w:rPr>
        <w:t>对于</w:t>
      </w:r>
      <w:r>
        <w:rPr>
          <w:rFonts w:hint="eastAsia" w:ascii="仿宋" w:hAnsi="仿宋" w:eastAsia="仿宋" w:cs="仿宋"/>
          <w:sz w:val="32"/>
          <w:szCs w:val="32"/>
        </w:rPr>
        <w:t>地券成交结果，除因不可抗力或司法裁决等特殊原因外，交易双方必须执行，任何一方不得拒签合同。拒签合同的，将列入不良信誉记录名单，两年内不得参与地券交易；竞得人拒签合同的，缴纳的保证金不予退还。</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rPr>
          <w:rFonts w:hint="eastAsia" w:ascii="仿宋" w:hAnsi="仿宋" w:eastAsia="仿宋" w:cs="仿宋"/>
          <w:sz w:val="32"/>
          <w:szCs w:val="32"/>
        </w:rPr>
      </w:pPr>
      <w:r>
        <w:rPr>
          <w:rFonts w:hint="eastAsia" w:ascii="黑体" w:hAnsi="黑体" w:eastAsia="黑体" w:cs="黑体"/>
          <w:b w:val="0"/>
          <w:bCs/>
          <w:sz w:val="32"/>
          <w:szCs w:val="32"/>
        </w:rPr>
        <w:t>第三十四条</w:t>
      </w:r>
      <w:r>
        <w:rPr>
          <w:rFonts w:hint="eastAsia" w:ascii="仿宋" w:hAnsi="仿宋" w:eastAsia="仿宋" w:cs="仿宋"/>
          <w:sz w:val="32"/>
          <w:szCs w:val="32"/>
        </w:rPr>
        <w:t xml:space="preserve">  区国土部门设立举报投诉电话、信箱，接受单位和个人对地券交易中违法、违纪和违规行为的检举、投诉。相关工作人员在地券交易过程中滥用职权、玩忽职守、徇私舞弊的，按照相关规定处理，构成犯罪的，移送司法机关处理。</w:t>
      </w:r>
    </w:p>
    <w:p>
      <w:pPr>
        <w:pageBreakBefore w:val="0"/>
        <w:widowControl w:val="0"/>
        <w:kinsoku/>
        <w:wordWrap/>
        <w:overflowPunct/>
        <w:topLinePunct w:val="0"/>
        <w:autoSpaceDE/>
        <w:autoSpaceDN/>
        <w:bidi w:val="0"/>
        <w:adjustRightInd/>
        <w:spacing w:line="240" w:lineRule="auto"/>
        <w:ind w:left="0" w:leftChars="0" w:right="0" w:rightChars="0" w:firstLine="640"/>
        <w:jc w:val="both"/>
        <w:textAlignment w:val="auto"/>
        <w:rPr>
          <w:rFonts w:hint="eastAsia" w:ascii="仿宋" w:hAnsi="仿宋" w:eastAsia="仿宋" w:cs="仿宋"/>
          <w:sz w:val="32"/>
          <w:szCs w:val="32"/>
        </w:rPr>
      </w:pPr>
    </w:p>
    <w:p>
      <w:pPr>
        <w:pStyle w:val="2"/>
        <w:pageBreakBefore w:val="0"/>
        <w:widowControl w:val="0"/>
        <w:kinsoku/>
        <w:wordWrap/>
        <w:overflowPunct/>
        <w:topLinePunct w:val="0"/>
        <w:autoSpaceDE/>
        <w:autoSpaceDN/>
        <w:bidi w:val="0"/>
        <w:adjustRightInd/>
        <w:spacing w:before="0" w:beforeLines="0" w:after="0" w:afterLines="0" w:line="240" w:lineRule="auto"/>
        <w:ind w:left="0" w:leftChars="0" w:right="0" w:rightChars="0" w:firstLine="144" w:firstLineChars="0"/>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第六章</w:t>
      </w:r>
      <w:r>
        <w:rPr>
          <w:rFonts w:hint="eastAsia" w:ascii="方正小标宋简体" w:hAnsi="方正小标宋简体" w:eastAsia="方正小标宋简体" w:cs="方正小标宋简体"/>
          <w:b w:val="0"/>
          <w:bCs/>
          <w:sz w:val="32"/>
          <w:szCs w:val="32"/>
          <w:lang w:val="en-US"/>
        </w:rPr>
        <w:t xml:space="preserve"> </w:t>
      </w:r>
      <w:r>
        <w:rPr>
          <w:rFonts w:hint="eastAsia" w:ascii="方正小标宋简体" w:hAnsi="方正小标宋简体" w:eastAsia="方正小标宋简体" w:cs="方正小标宋简体"/>
          <w:b w:val="0"/>
          <w:bCs/>
          <w:sz w:val="32"/>
          <w:szCs w:val="32"/>
          <w:lang w:val="en-US" w:eastAsia="zh-CN"/>
        </w:rPr>
        <w:t xml:space="preserve"> </w:t>
      </w:r>
      <w:r>
        <w:rPr>
          <w:rFonts w:hint="eastAsia" w:ascii="方正小标宋简体" w:hAnsi="方正小标宋简体" w:eastAsia="方正小标宋简体" w:cs="方正小标宋简体"/>
          <w:b w:val="0"/>
          <w:bCs/>
          <w:sz w:val="32"/>
          <w:szCs w:val="32"/>
        </w:rPr>
        <w:t>附则</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第三十五条</w:t>
      </w:r>
      <w:r>
        <w:rPr>
          <w:rFonts w:hint="eastAsia" w:ascii="仿宋" w:hAnsi="仿宋" w:eastAsia="仿宋" w:cs="仿宋"/>
          <w:sz w:val="32"/>
          <w:szCs w:val="32"/>
        </w:rPr>
        <w:t xml:space="preserve">  本办法由区国土城建和水务局（国土）负责解释。由区国土城建和水务局（国土）负责制定地券交易管理实施细则。</w:t>
      </w:r>
    </w:p>
    <w:p>
      <w:pPr>
        <w:pageBreakBefore w:val="0"/>
        <w:widowControl w:val="0"/>
        <w:kinsoku/>
        <w:wordWrap/>
        <w:overflowPunct/>
        <w:topLinePunct w:val="0"/>
        <w:autoSpaceDE/>
        <w:autoSpaceDN/>
        <w:bidi w:val="0"/>
        <w:adjustRightInd/>
        <w:spacing w:line="240" w:lineRule="auto"/>
        <w:ind w:left="0" w:leftChars="0" w:right="0" w:rightChars="0" w:firstLine="643"/>
        <w:jc w:val="both"/>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第三十六条</w:t>
      </w:r>
      <w:r>
        <w:rPr>
          <w:rFonts w:hint="eastAsia" w:ascii="仿宋" w:hAnsi="仿宋" w:eastAsia="仿宋" w:cs="仿宋"/>
          <w:sz w:val="32"/>
          <w:szCs w:val="32"/>
        </w:rPr>
        <w:t xml:space="preserve">  本办法自印发之日起施行，有效期至2019年12月31日。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rPr>
      </w:pPr>
    </w:p>
    <w:p/>
    <w:p/>
    <w:sectPr>
      <w:pgSz w:w="11907" w:h="16840"/>
      <w:pgMar w:top="2098" w:right="1474" w:bottom="1984" w:left="1588" w:header="851" w:footer="1559" w:gutter="0"/>
      <w:paperSrc/>
      <w:pgBorders>
        <w:top w:val="none" w:sz="0" w:space="0"/>
        <w:left w:val="none" w:sz="0" w:space="0"/>
        <w:bottom w:val="none" w:sz="0" w:space="0"/>
        <w:right w:val="none" w:sz="0" w:space="0"/>
      </w:pgBorders>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1"/>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1"/>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right="360" w:firstLine="360"/>
    </w:pPr>
    <w:r>
      <w:rPr>
        <w:sz w:val="18"/>
      </w:rPr>
      <w:pict>
        <v:shape id="文本框 4"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8"/>
                  <w:pBdr>
                    <w:between w:val="none" w:color="auto" w:sz="50" w:space="0"/>
                  </w:pBdr>
                  <w:ind w:left="210" w:leftChars="100" w:right="210" w:rightChars="100"/>
                  <w:rPr>
                    <w:rFonts w:hint="eastAsia" w:ascii="仿宋" w:hAnsi="仿宋" w:eastAsia="仿宋"/>
                    <w:sz w:val="28"/>
                  </w:rPr>
                </w:pPr>
                <w:r>
                  <w:rPr>
                    <w:rStyle w:val="6"/>
                    <w:rFonts w:hint="eastAsia" w:ascii="仿宋" w:hAnsi="仿宋" w:eastAsia="仿宋"/>
                    <w:sz w:val="28"/>
                  </w:rPr>
                  <w:t xml:space="preserve">— </w:t>
                </w:r>
                <w:r>
                  <w:rPr>
                    <w:rFonts w:hint="eastAsia" w:ascii="仿宋" w:hAnsi="仿宋" w:eastAsia="仿宋"/>
                    <w:sz w:val="28"/>
                  </w:rPr>
                  <w:fldChar w:fldCharType="begin"/>
                </w:r>
                <w:r>
                  <w:rPr>
                    <w:rStyle w:val="6"/>
                    <w:rFonts w:hint="eastAsia" w:ascii="仿宋" w:hAnsi="仿宋" w:eastAsia="仿宋"/>
                    <w:sz w:val="28"/>
                  </w:rPr>
                  <w:instrText xml:space="preserve"> PAGE  </w:instrText>
                </w:r>
                <w:r>
                  <w:rPr>
                    <w:rFonts w:hint="eastAsia" w:ascii="仿宋" w:hAnsi="仿宋" w:eastAsia="仿宋"/>
                    <w:sz w:val="28"/>
                  </w:rPr>
                  <w:fldChar w:fldCharType="separate"/>
                </w:r>
                <w:r>
                  <w:rPr>
                    <w:rStyle w:val="6"/>
                    <w:rFonts w:hint="eastAsia" w:ascii="仿宋" w:hAnsi="仿宋" w:eastAsia="仿宋"/>
                    <w:sz w:val="28"/>
                  </w:rPr>
                  <w:t>1</w:t>
                </w:r>
                <w:r>
                  <w:rPr>
                    <w:rFonts w:hint="eastAsia" w:ascii="仿宋" w:hAnsi="仿宋" w:eastAsia="仿宋"/>
                    <w:sz w:val="28"/>
                  </w:rPr>
                  <w:fldChar w:fldCharType="end"/>
                </w:r>
                <w:r>
                  <w:rPr>
                    <w:rFonts w:hint="eastAsia" w:ascii="仿宋" w:hAnsi="仿宋" w:eastAsia="仿宋"/>
                    <w:sz w:val="28"/>
                  </w:rPr>
                  <w:t xml:space="preserve"> </w:t>
                </w:r>
                <w:r>
                  <w:rPr>
                    <w:rStyle w:val="6"/>
                    <w:rFonts w:hint="eastAsia" w:ascii="仿宋" w:hAnsi="仿宋" w:eastAsia="仿宋"/>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63FFD"/>
    <w:rsid w:val="075341AD"/>
    <w:rsid w:val="086818F8"/>
    <w:rsid w:val="09BE0E5F"/>
    <w:rsid w:val="0A6A5962"/>
    <w:rsid w:val="0A831519"/>
    <w:rsid w:val="0D6F2EB2"/>
    <w:rsid w:val="0F147A5B"/>
    <w:rsid w:val="106F1EBF"/>
    <w:rsid w:val="110B27AE"/>
    <w:rsid w:val="12414495"/>
    <w:rsid w:val="124F5A0E"/>
    <w:rsid w:val="14EC154E"/>
    <w:rsid w:val="17A37634"/>
    <w:rsid w:val="17AE7B42"/>
    <w:rsid w:val="17E808F4"/>
    <w:rsid w:val="18053C13"/>
    <w:rsid w:val="18403B9B"/>
    <w:rsid w:val="193B27AB"/>
    <w:rsid w:val="19ED5CF1"/>
    <w:rsid w:val="1C7B326B"/>
    <w:rsid w:val="1D6E1542"/>
    <w:rsid w:val="1E1577CD"/>
    <w:rsid w:val="1EC60D72"/>
    <w:rsid w:val="1EE419A0"/>
    <w:rsid w:val="1F7B0C75"/>
    <w:rsid w:val="20191AB9"/>
    <w:rsid w:val="20F70BBE"/>
    <w:rsid w:val="21026A33"/>
    <w:rsid w:val="21F846F3"/>
    <w:rsid w:val="22172CA0"/>
    <w:rsid w:val="26EA0B9D"/>
    <w:rsid w:val="270C59EE"/>
    <w:rsid w:val="27C21109"/>
    <w:rsid w:val="27D13C71"/>
    <w:rsid w:val="2A264B18"/>
    <w:rsid w:val="2C043B6C"/>
    <w:rsid w:val="2DB11ADD"/>
    <w:rsid w:val="2E2734C5"/>
    <w:rsid w:val="2E7978CA"/>
    <w:rsid w:val="2F6129CB"/>
    <w:rsid w:val="2F797950"/>
    <w:rsid w:val="3070603B"/>
    <w:rsid w:val="30C35DF7"/>
    <w:rsid w:val="332804CD"/>
    <w:rsid w:val="342469F5"/>
    <w:rsid w:val="35120B73"/>
    <w:rsid w:val="38532E91"/>
    <w:rsid w:val="39E04A8C"/>
    <w:rsid w:val="3A2E6CAA"/>
    <w:rsid w:val="3A2F025B"/>
    <w:rsid w:val="3AAA5DCF"/>
    <w:rsid w:val="3B2D31C8"/>
    <w:rsid w:val="3B307B44"/>
    <w:rsid w:val="3CB765D7"/>
    <w:rsid w:val="3D085A0F"/>
    <w:rsid w:val="3D085FCD"/>
    <w:rsid w:val="3D1A0A38"/>
    <w:rsid w:val="3D337902"/>
    <w:rsid w:val="3E127F46"/>
    <w:rsid w:val="3E6A3480"/>
    <w:rsid w:val="3ED454BB"/>
    <w:rsid w:val="3FAF0B6E"/>
    <w:rsid w:val="41681011"/>
    <w:rsid w:val="41CD2D24"/>
    <w:rsid w:val="433266BC"/>
    <w:rsid w:val="43390EE1"/>
    <w:rsid w:val="43CE40A1"/>
    <w:rsid w:val="43DD43E9"/>
    <w:rsid w:val="449275BC"/>
    <w:rsid w:val="44C80D83"/>
    <w:rsid w:val="45605E7B"/>
    <w:rsid w:val="46724FD2"/>
    <w:rsid w:val="47237950"/>
    <w:rsid w:val="479F4DF9"/>
    <w:rsid w:val="48474E8E"/>
    <w:rsid w:val="49D361FB"/>
    <w:rsid w:val="4A0B60E2"/>
    <w:rsid w:val="4AF16490"/>
    <w:rsid w:val="4B946408"/>
    <w:rsid w:val="4D121671"/>
    <w:rsid w:val="4D3E179F"/>
    <w:rsid w:val="4E0277A9"/>
    <w:rsid w:val="4FCD1417"/>
    <w:rsid w:val="512F7E94"/>
    <w:rsid w:val="51DE4484"/>
    <w:rsid w:val="523D0A62"/>
    <w:rsid w:val="52E824A8"/>
    <w:rsid w:val="54447B1F"/>
    <w:rsid w:val="54A60DFF"/>
    <w:rsid w:val="54A75DA4"/>
    <w:rsid w:val="57A5625F"/>
    <w:rsid w:val="58746097"/>
    <w:rsid w:val="592F097A"/>
    <w:rsid w:val="5BA67C65"/>
    <w:rsid w:val="5C8D4934"/>
    <w:rsid w:val="5D1A4EE3"/>
    <w:rsid w:val="5D295FAF"/>
    <w:rsid w:val="5D341C77"/>
    <w:rsid w:val="5D8747CD"/>
    <w:rsid w:val="5E486A6D"/>
    <w:rsid w:val="5F377033"/>
    <w:rsid w:val="60BA29D2"/>
    <w:rsid w:val="61D52E47"/>
    <w:rsid w:val="61FB1CDD"/>
    <w:rsid w:val="62505306"/>
    <w:rsid w:val="62D82869"/>
    <w:rsid w:val="6570478E"/>
    <w:rsid w:val="65A07821"/>
    <w:rsid w:val="67DF297F"/>
    <w:rsid w:val="68B916F2"/>
    <w:rsid w:val="6B7C70B5"/>
    <w:rsid w:val="6C011160"/>
    <w:rsid w:val="6C733514"/>
    <w:rsid w:val="6DA27C69"/>
    <w:rsid w:val="704A0B8E"/>
    <w:rsid w:val="73BF3315"/>
    <w:rsid w:val="789D64EB"/>
    <w:rsid w:val="78BE7338"/>
    <w:rsid w:val="78CE58C8"/>
    <w:rsid w:val="78E91351"/>
    <w:rsid w:val="796451FD"/>
    <w:rsid w:val="7A102403"/>
    <w:rsid w:val="7A683C09"/>
    <w:rsid w:val="7B8C1658"/>
    <w:rsid w:val="7BC84EBC"/>
    <w:rsid w:val="7C31139B"/>
    <w:rsid w:val="7C527FB1"/>
    <w:rsid w:val="7C8A59BA"/>
    <w:rsid w:val="7DDF1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12" w:beforeLines="100" w:after="312" w:afterLines="100" w:line="360" w:lineRule="auto"/>
      <w:ind w:firstLine="199" w:firstLineChars="45"/>
      <w:outlineLvl w:val="0"/>
    </w:pPr>
    <w:rPr>
      <w:rFonts w:ascii="仿宋_GB2312" w:hAnsi="Times New Roman" w:eastAsia="仿宋_GB2312"/>
      <w:b/>
      <w:kern w:val="44"/>
      <w:sz w:val="44"/>
      <w:lang w:val="zh-CN"/>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320"/>
        <w:tab w:val="right" w:pos="8640"/>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方正小标宋简体"/>
      <w:sz w:val="18"/>
      <w:szCs w:val="44"/>
    </w:rPr>
  </w:style>
  <w:style w:type="character" w:styleId="6">
    <w:name w:val="page number"/>
    <w:basedOn w:val="5"/>
    <w:uiPriority w:val="0"/>
    <w:rPr>
      <w:rFonts w:ascii="Times New Roman" w:hAnsi="Times New Roman" w:eastAsia="宋体" w:cs="Times New Roman"/>
    </w:rPr>
  </w:style>
  <w:style w:type="paragraph" w:customStyle="1" w:styleId="8">
    <w:name w:val="页脚 New New New New New New New New New New New New New New New New New New New New New New New New New"/>
    <w:basedOn w:val="9"/>
    <w:qFormat/>
    <w:uiPriority w:val="0"/>
    <w:pPr>
      <w:tabs>
        <w:tab w:val="center" w:pos="4153"/>
        <w:tab w:val="right" w:pos="8306"/>
      </w:tabs>
      <w:snapToGrid w:val="0"/>
      <w:jc w:val="left"/>
    </w:pPr>
    <w:rPr>
      <w:sz w:val="18"/>
    </w:rPr>
  </w:style>
  <w:style w:type="paragraph" w:customStyle="1" w:styleId="9">
    <w:name w:val="正文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页脚 New New New New New New"/>
    <w:basedOn w:val="12"/>
    <w:uiPriority w:val="0"/>
    <w:pPr>
      <w:tabs>
        <w:tab w:val="center" w:pos="4153"/>
        <w:tab w:val="right" w:pos="8306"/>
      </w:tabs>
      <w:snapToGrid w:val="0"/>
      <w:jc w:val="left"/>
    </w:pPr>
    <w:rPr>
      <w:rFonts w:ascii="Calibri" w:hAnsi="Calibri"/>
      <w:kern w:val="2"/>
      <w:sz w:val="18"/>
      <w:szCs w:val="18"/>
    </w:rPr>
  </w:style>
  <w:style w:type="paragraph" w:customStyle="1" w:styleId="12">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文本缩进 2 New"/>
    <w:basedOn w:val="15"/>
    <w:uiPriority w:val="0"/>
    <w:pPr>
      <w:spacing w:after="50" w:afterLines="0" w:line="600" w:lineRule="atLeast"/>
      <w:ind w:firstLine="645"/>
    </w:pPr>
    <w:rPr>
      <w:rFonts w:eastAsia="仿宋_GB2312"/>
      <w:sz w:val="32"/>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17">
    <w:name w:val="页脚 New New"/>
    <w:basedOn w:val="18"/>
    <w:uiPriority w:val="0"/>
    <w:pPr>
      <w:tabs>
        <w:tab w:val="center" w:pos="4153"/>
        <w:tab w:val="right" w:pos="8306"/>
      </w:tabs>
      <w:snapToGrid w:val="0"/>
      <w:jc w:val="left"/>
    </w:pPr>
    <w:rPr>
      <w:sz w:val="18"/>
      <w:szCs w:val="18"/>
    </w:rPr>
  </w:style>
  <w:style w:type="paragraph" w:customStyle="1" w:styleId="18">
    <w:name w:val="正文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rPr>
  </w:style>
  <w:style w:type="paragraph" w:customStyle="1" w:styleId="21">
    <w:name w:val="页眉 New New New New New New New New New New New New"/>
    <w:basedOn w:val="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22">
    <w:name w:val="Char Char Char Char Char Char Char Char Char Char Char Char Char Char Char Char Char Char Char Char Char Char Char Char Char Char Char Char Char Char Char Char Char"/>
    <w:basedOn w:val="19"/>
    <w:uiPriority w:val="0"/>
    <w:pPr>
      <w:widowControl/>
      <w:spacing w:after="160" w:afterLines="0" w:line="240" w:lineRule="exact"/>
      <w:jc w:val="left"/>
    </w:pPr>
  </w:style>
  <w:style w:type="paragraph" w:customStyle="1" w:styleId="23">
    <w:name w:val="正文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
    <w:name w:val="页脚 New New New New New New New New New New"/>
    <w:basedOn w:val="26"/>
    <w:uiPriority w:val="0"/>
    <w:pPr>
      <w:tabs>
        <w:tab w:val="center" w:pos="4153"/>
        <w:tab w:val="right" w:pos="8306"/>
      </w:tabs>
      <w:snapToGrid w:val="0"/>
      <w:jc w:val="left"/>
    </w:pPr>
    <w:rPr>
      <w:sz w:val="18"/>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27">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正文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29">
    <w:name w:val="正文文本 New"/>
    <w:basedOn w:val="30"/>
    <w:uiPriority w:val="0"/>
    <w:pPr>
      <w:spacing w:after="120" w:afterLines="0"/>
    </w:pPr>
  </w:style>
  <w:style w:type="paragraph" w:customStyle="1" w:styleId="30">
    <w:name w:val="正文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p15"/>
    <w:basedOn w:val="32"/>
    <w:uiPriority w:val="0"/>
    <w:pPr>
      <w:widowControl/>
    </w:pPr>
    <w:rPr>
      <w:kern w:val="0"/>
      <w:szCs w:val="21"/>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3">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4">
    <w:name w:val="标题 New"/>
    <w:basedOn w:val="19"/>
    <w:uiPriority w:val="0"/>
    <w:pPr>
      <w:spacing w:before="240" w:beforeLines="0" w:after="60" w:afterLines="0"/>
      <w:jc w:val="center"/>
      <w:outlineLvl w:val="0"/>
    </w:pPr>
    <w:rPr>
      <w:rFonts w:ascii="Arial" w:hAnsi="Arial" w:eastAsia="宋体" w:cs="Arial"/>
      <w:b/>
      <w:bCs/>
      <w:szCs w:val="32"/>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36">
    <w:name w:val="正文缩进 New"/>
    <w:basedOn w:val="37"/>
    <w:uiPriority w:val="0"/>
    <w:pPr>
      <w:widowControl/>
      <w:spacing w:before="100" w:beforeLines="0" w:beforeAutospacing="1" w:after="100" w:afterLines="0" w:afterAutospacing="1"/>
      <w:jc w:val="left"/>
    </w:pPr>
    <w:rPr>
      <w:rFonts w:ascii="宋体" w:hAnsi="宋体" w:cs="Times New Roman"/>
      <w:kern w:val="0"/>
      <w:sz w:val="24"/>
      <w:szCs w:val="24"/>
    </w:rPr>
  </w:style>
  <w:style w:type="paragraph" w:customStyle="1" w:styleId="37">
    <w:name w:val="正文 New"/>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38">
    <w:name w:val="页脚 New New New New New New New"/>
    <w:basedOn w:val="39"/>
    <w:uiPriority w:val="0"/>
    <w:pPr>
      <w:tabs>
        <w:tab w:val="center" w:pos="4153"/>
        <w:tab w:val="right" w:pos="8306"/>
      </w:tabs>
      <w:snapToGrid w:val="0"/>
      <w:jc w:val="left"/>
    </w:pPr>
    <w:rPr>
      <w:sz w:val="18"/>
      <w:szCs w:val="18"/>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 Char Char2"/>
    <w:basedOn w:val="13"/>
    <w:qFormat/>
    <w:uiPriority w:val="0"/>
    <w:pPr>
      <w:widowControl/>
      <w:spacing w:after="160" w:afterLines="0" w:line="240" w:lineRule="exact"/>
      <w:jc w:val="left"/>
    </w:pPr>
  </w:style>
  <w:style w:type="paragraph" w:customStyle="1" w:styleId="41">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
    <w:name w:val="正文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45">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普通(网站) New New"/>
    <w:basedOn w:val="47"/>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7">
    <w:name w:val="正文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48">
    <w:name w:val="正文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Char Char Char Char Char Char1 Char Char Char Char"/>
    <w:basedOn w:val="50"/>
    <w:uiPriority w:val="0"/>
    <w:rPr>
      <w:rFonts w:eastAsia="仿宋_GB2312"/>
      <w:sz w:val="32"/>
      <w:szCs w:val="32"/>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正文 New New New New"/>
    <w:uiPriority w:val="0"/>
    <w:pPr>
      <w:widowControl w:val="0"/>
      <w:jc w:val="both"/>
    </w:pPr>
    <w:rPr>
      <w:rFonts w:ascii="Times New Roman" w:hAnsi="Times New Roman" w:eastAsia="宋体" w:cs="Times New Roman"/>
      <w:kern w:val="2"/>
      <w:sz w:val="21"/>
      <w:lang w:val="en-US" w:eastAsia="zh-CN"/>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 Char Char Char"/>
    <w:basedOn w:val="42"/>
    <w:uiPriority w:val="0"/>
  </w:style>
  <w:style w:type="paragraph" w:customStyle="1" w:styleId="54">
    <w:name w:val="页脚 New New New New New New New New"/>
    <w:basedOn w:val="23"/>
    <w:uiPriority w:val="0"/>
    <w:pPr>
      <w:tabs>
        <w:tab w:val="center" w:pos="4153"/>
        <w:tab w:val="right" w:pos="8306"/>
      </w:tabs>
      <w:snapToGrid w:val="0"/>
      <w:jc w:val="left"/>
    </w:pPr>
    <w:rPr>
      <w:sz w:val="18"/>
      <w:szCs w:val="20"/>
    </w:rPr>
  </w:style>
  <w:style w:type="paragraph" w:customStyle="1" w:styleId="55">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56">
    <w:name w:val="正文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 New New New New New New New New New New New New New New New New New New New New New New New New New New New New New New New New New New New New New New New New New New New New New New New New New New New New New New New New New New New New New New Ne Char Char Char Char Char Char Char Char Char Char Char Char Char Char Char Char Char Char Char Char Char Char Char Char Char Char Char Char Char Char Char Char Char Char Char Char Char Char Char Char Char Char Char Char Char Char Char Char Char Char Char Char Char"/>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页脚 New New New New New New New New New New New New New New New New New New New New New New New New New New New New New New New New New"/>
    <w:basedOn w:val="50"/>
    <w:uiPriority w:val="0"/>
    <w:pPr>
      <w:tabs>
        <w:tab w:val="center" w:pos="4153"/>
        <w:tab w:val="right" w:pos="8306"/>
      </w:tabs>
      <w:snapToGrid w:val="0"/>
      <w:jc w:val="left"/>
    </w:pPr>
    <w:rPr>
      <w:sz w:val="18"/>
      <w:szCs w:val="18"/>
    </w:rPr>
  </w:style>
  <w:style w:type="paragraph" w:customStyle="1" w:styleId="59">
    <w:name w:val="正文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60">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普通(网站) New"/>
    <w:basedOn w:val="18"/>
    <w:uiPriority w:val="0"/>
    <w:pPr>
      <w:widowControl/>
      <w:jc w:val="left"/>
    </w:pPr>
    <w:rPr>
      <w:rFonts w:ascii="宋体" w:hAnsi="宋体" w:cs="宋体"/>
      <w:kern w:val="0"/>
      <w:sz w:val="24"/>
    </w:rPr>
  </w:style>
  <w:style w:type="paragraph" w:customStyle="1" w:styleId="63">
    <w:name w:val="正文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仿宋_GB2312" w:eastAsia="仿宋_GB2312" w:cs="Times New Roman"/>
      <w:kern w:val="2"/>
      <w:sz w:val="32"/>
      <w:szCs w:val="32"/>
      <w:lang w:val="en-US" w:eastAsia="zh-CN"/>
    </w:rPr>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New New New New New New New New New New New New New New New New New New New New New New New New New New New New Ne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Char"/>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6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Times New Roman" w:eastAsia="仿宋_GB2312" w:cs="Times New Roman"/>
      <w:kern w:val="2"/>
      <w:sz w:val="32"/>
      <w:lang w:val="en-US" w:eastAsia="zh-CN" w:bidi="ar-SA"/>
    </w:rPr>
  </w:style>
  <w:style w:type="paragraph" w:customStyle="1" w:styleId="70">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71">
    <w:name w:val="正式格式"/>
    <w:basedOn w:val="1"/>
    <w:qFormat/>
    <w:uiPriority w:val="0"/>
    <w:pPr>
      <w:spacing w:line="560" w:lineRule="exact"/>
    </w:pPr>
    <w:rPr>
      <w:rFonts w:ascii="Calibri" w:hAnsi="Calibri" w:eastAsia="仿宋_GB2312"/>
      <w:sz w:val="32"/>
    </w:rPr>
  </w:style>
  <w:style w:type="paragraph" w:customStyle="1" w:styleId="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73">
    <w:name w:val="页脚 New"/>
    <w:basedOn w:val="74"/>
    <w:uiPriority w:val="0"/>
    <w:pPr>
      <w:tabs>
        <w:tab w:val="center" w:pos="4153"/>
        <w:tab w:val="right" w:pos="8306"/>
      </w:tabs>
      <w:snapToGrid w:val="0"/>
      <w:jc w:val="left"/>
    </w:pPr>
    <w:rPr>
      <w:sz w:val="18"/>
      <w:szCs w:val="18"/>
    </w:rPr>
  </w:style>
  <w:style w:type="paragraph" w:customStyle="1" w:styleId="74">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 New New New New New New New New New New New New New New New New New New New New New New New New New New New New New New New New New New New New New New New New New New New New New New"/>
    <w:uiPriority w:val="0"/>
    <w:pPr>
      <w:widowControl w:val="0"/>
      <w:suppressAutoHyphens/>
    </w:pPr>
    <w:rPr>
      <w:rFonts w:ascii="Times New Roman" w:hAnsi="Times New Roman" w:eastAsia="宋体" w:cs="Tahoma"/>
      <w:kern w:val="1"/>
      <w:sz w:val="24"/>
      <w:szCs w:val="24"/>
      <w:lang w:val="en-US" w:eastAsia="zh-CN" w:bidi="zh-CN"/>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79">
    <w:name w:val="正文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 w:hAnsi="仿宋" w:eastAsia="仿宋" w:cs="Times New Roman"/>
      <w:color w:val="000000"/>
      <w:kern w:val="2"/>
      <w:sz w:val="32"/>
      <w:lang w:val="en-US" w:eastAsia="zh-CN"/>
    </w:rPr>
  </w:style>
  <w:style w:type="paragraph" w:customStyle="1" w:styleId="84">
    <w:name w:val="Char1"/>
    <w:basedOn w:val="85"/>
    <w:uiPriority w:val="0"/>
    <w:pPr>
      <w:widowControl/>
      <w:spacing w:after="160" w:afterLines="0" w:line="240" w:lineRule="exact"/>
      <w:jc w:val="left"/>
    </w:pPr>
  </w:style>
  <w:style w:type="paragraph" w:customStyle="1" w:styleId="85">
    <w:name w:val="正文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6">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16"/>
    <w:basedOn w:val="37"/>
    <w:qFormat/>
    <w:uiPriority w:val="0"/>
    <w:pPr>
      <w:widowControl/>
    </w:pPr>
    <w:rPr>
      <w:rFonts w:ascii="Calibri" w:hAnsi="Calibri" w:cs="Calibri"/>
      <w:kern w:val="0"/>
      <w:szCs w:val="21"/>
    </w:rPr>
  </w:style>
  <w:style w:type="paragraph" w:customStyle="1" w:styleId="88">
    <w:name w:val="正文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文本缩进 New"/>
    <w:basedOn w:val="37"/>
    <w:uiPriority w:val="0"/>
    <w:pPr>
      <w:spacing w:after="120" w:afterLines="0"/>
      <w:ind w:left="420" w:leftChars="200"/>
    </w:pPr>
  </w:style>
  <w:style w:type="paragraph" w:customStyle="1" w:styleId="90">
    <w:name w:val="正文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1">
    <w:name w:val="正文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正文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95">
    <w:name w:val="页眉 New New New"/>
    <w:basedOn w:val="76"/>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方正小标宋简体"/>
      <w:sz w:val="18"/>
      <w:szCs w:val="44"/>
    </w:rPr>
  </w:style>
  <w:style w:type="paragraph" w:customStyle="1" w:styleId="96">
    <w:name w:val="正文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Normal (Web)"/>
    <w:basedOn w:val="93"/>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98">
    <w:name w:val="页眉 New New"/>
    <w:basedOn w:val="33"/>
    <w:uiPriority w:val="0"/>
    <w:pPr>
      <w:pBdr>
        <w:bottom w:val="single" w:color="auto" w:sz="6" w:space="1"/>
      </w:pBdr>
      <w:tabs>
        <w:tab w:val="center" w:pos="4153"/>
        <w:tab w:val="right" w:pos="8306"/>
      </w:tabs>
      <w:snapToGrid w:val="0"/>
      <w:jc w:val="center"/>
    </w:pPr>
    <w:rPr>
      <w:sz w:val="18"/>
    </w:rPr>
  </w:style>
  <w:style w:type="paragraph" w:customStyle="1" w:styleId="99">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0">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1">
    <w:name w:val="页脚 New New New New"/>
    <w:basedOn w:val="85"/>
    <w:uiPriority w:val="0"/>
    <w:pPr>
      <w:tabs>
        <w:tab w:val="center" w:pos="4153"/>
        <w:tab w:val="right" w:pos="8306"/>
      </w:tabs>
      <w:snapToGrid w:val="0"/>
      <w:jc w:val="left"/>
    </w:pPr>
    <w:rPr>
      <w:sz w:val="18"/>
    </w:rPr>
  </w:style>
  <w:style w:type="paragraph" w:customStyle="1" w:styleId="102">
    <w:name w:val="页脚 New New New New New"/>
    <w:basedOn w:val="33"/>
    <w:uiPriority w:val="0"/>
    <w:pPr>
      <w:tabs>
        <w:tab w:val="center" w:pos="4153"/>
        <w:tab w:val="right" w:pos="8306"/>
      </w:tabs>
      <w:snapToGrid w:val="0"/>
      <w:jc w:val="left"/>
    </w:pPr>
    <w:rPr>
      <w:sz w:val="18"/>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New New Ne New"/>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正文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5">
    <w:name w:val="正文 New New New New New New New New New New New New New New New New New New New New New New New New New New New New New New New New New New New New New New New New New New New New New New New New New New New New New New New New New New New New New New Ne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页眉 New New New New New New New New New"/>
    <w:basedOn w:val="92"/>
    <w:uiPriority w:val="0"/>
    <w:pPr>
      <w:pBdr>
        <w:bottom w:val="single" w:color="auto" w:sz="6" w:space="1"/>
      </w:pBdr>
      <w:tabs>
        <w:tab w:val="center" w:pos="4153"/>
        <w:tab w:val="right" w:pos="8306"/>
      </w:tabs>
      <w:snapToGrid w:val="0"/>
      <w:jc w:val="center"/>
    </w:pPr>
    <w:rPr>
      <w:sz w:val="18"/>
    </w:rPr>
  </w:style>
  <w:style w:type="paragraph" w:customStyle="1" w:styleId="107">
    <w:name w:val="页脚 New New New"/>
    <w:basedOn w:val="108"/>
    <w:uiPriority w:val="0"/>
    <w:pPr>
      <w:tabs>
        <w:tab w:val="center" w:pos="4153"/>
        <w:tab w:val="right" w:pos="8306"/>
      </w:tabs>
      <w:snapToGrid w:val="0"/>
      <w:jc w:val="left"/>
    </w:pPr>
    <w:rPr>
      <w:sz w:val="18"/>
      <w:szCs w:val="18"/>
    </w:rPr>
  </w:style>
  <w:style w:type="paragraph" w:customStyle="1" w:styleId="108">
    <w:name w:val="正文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9">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 Char Char Char Char"/>
    <w:basedOn w:val="70"/>
    <w:uiPriority w:val="0"/>
    <w:pPr>
      <w:widowControl/>
      <w:tabs>
        <w:tab w:val="left" w:pos="7680"/>
      </w:tabs>
      <w:ind w:firstLine="640" w:firstLineChars="200"/>
    </w:pPr>
    <w:rPr>
      <w:rFonts w:ascii="仿宋_GB2312" w:hAnsi="Verdana"/>
      <w:kern w:val="0"/>
      <w:szCs w:val="32"/>
      <w:lang w:eastAsia="en-US"/>
    </w:rPr>
  </w:style>
  <w:style w:type="paragraph" w:customStyle="1" w:styleId="111">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112"/>
    <w:qFormat/>
    <w:uiPriority w:val="0"/>
    <w:pPr>
      <w:tabs>
        <w:tab w:val="center" w:pos="4153"/>
        <w:tab w:val="right" w:pos="8306"/>
      </w:tabs>
      <w:snapToGrid w:val="0"/>
      <w:jc w:val="left"/>
    </w:pPr>
    <w:rPr>
      <w:sz w:val="18"/>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4">
    <w:name w:val="正文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5">
    <w:name w:val="正文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正文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7">
    <w:name w:val="正文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18">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19">
    <w:name w:val="标题 1 New New New New New New New New New"/>
    <w:basedOn w:val="34"/>
    <w:next w:val="19"/>
    <w:uiPriority w:val="0"/>
    <w:pPr>
      <w:keepNext/>
      <w:keepLines/>
      <w:spacing w:before="0" w:beforeLines="0" w:after="0" w:afterLines="0"/>
    </w:pPr>
    <w:rPr>
      <w:rFonts w:eastAsia="方正小标宋简体"/>
      <w:b w:val="0"/>
      <w:bCs w:val="0"/>
      <w:kern w:val="44"/>
      <w:sz w:val="44"/>
      <w:szCs w:val="44"/>
    </w:rPr>
  </w:style>
  <w:style w:type="paragraph" w:customStyle="1" w:styleId="120">
    <w:name w:val="页眉 New"/>
    <w:basedOn w:val="85"/>
    <w:uiPriority w:val="0"/>
    <w:pPr>
      <w:pBdr>
        <w:bottom w:val="single" w:color="auto" w:sz="6" w:space="1"/>
      </w:pBdr>
      <w:tabs>
        <w:tab w:val="center" w:pos="4153"/>
        <w:tab w:val="right" w:pos="8306"/>
      </w:tabs>
      <w:snapToGrid w:val="0"/>
      <w:jc w:val="center"/>
    </w:pPr>
    <w:rPr>
      <w:sz w:val="18"/>
    </w:rPr>
  </w:style>
  <w:style w:type="paragraph" w:customStyle="1" w:styleId="1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123">
    <w:name w:val="p0"/>
    <w:basedOn w:val="37"/>
    <w:qFormat/>
    <w:uiPriority w:val="0"/>
    <w:pPr>
      <w:widowControl/>
    </w:pPr>
    <w:rPr>
      <w:rFonts w:ascii="Calibri" w:hAnsi="Calibri" w:cs="Calibri"/>
      <w:kern w:val="0"/>
      <w:szCs w:val="21"/>
    </w:rPr>
  </w:style>
  <w:style w:type="paragraph" w:customStyle="1" w:styleId="124">
    <w:name w:val="正文文本缩进 New New"/>
    <w:basedOn w:val="15"/>
    <w:uiPriority w:val="0"/>
    <w:pPr>
      <w:ind w:firstLine="630"/>
    </w:pPr>
    <w:rPr>
      <w:rFonts w:ascii="仿宋_GB2312" w:eastAsia="仿宋_GB2312"/>
      <w:sz w:val="32"/>
    </w:rPr>
  </w:style>
  <w:style w:type="paragraph" w:customStyle="1" w:styleId="125">
    <w:name w:val="正文 New New New New New New New New New New New New New New New New New New New"/>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26">
    <w:name w:val="正文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页脚 New New New New New New New New New"/>
    <w:basedOn w:val="83"/>
    <w:uiPriority w:val="0"/>
    <w:pPr>
      <w:tabs>
        <w:tab w:val="center" w:pos="4153"/>
        <w:tab w:val="right" w:pos="8306"/>
      </w:tabs>
      <w:snapToGrid w:val="0"/>
      <w:jc w:val="left"/>
    </w:pPr>
    <w:rPr>
      <w:sz w:val="18"/>
    </w:rPr>
  </w:style>
  <w:style w:type="paragraph" w:customStyle="1" w:styleId="128">
    <w:name w:val="正文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Char"/>
    <w:basedOn w:val="70"/>
    <w:uiPriority w:val="0"/>
    <w:pPr>
      <w:tabs>
        <w:tab w:val="left" w:pos="425"/>
      </w:tabs>
      <w:ind w:left="425" w:hanging="425"/>
    </w:pPr>
  </w:style>
  <w:style w:type="paragraph" w:customStyle="1" w:styleId="130">
    <w:name w:val="正文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character" w:customStyle="1" w:styleId="131">
    <w:name w:val="apple-converted-space"/>
    <w:basedOn w:val="5"/>
    <w:uiPriority w:val="0"/>
    <w:rPr>
      <w:rFonts w:ascii="Times New Roman" w:hAnsi="Times New Roman" w:eastAsia="宋体" w:cs="Times New Roman"/>
    </w:rPr>
  </w:style>
  <w:style w:type="character" w:customStyle="1" w:styleId="132">
    <w:name w:val="要点 New New"/>
    <w:basedOn w:val="5"/>
    <w:uiPriority w:val="0"/>
    <w:rPr>
      <w:rFonts w:ascii="Times New Roman" w:hAnsi="Times New Roman" w:eastAsia="宋体" w:cs="Times New Roman"/>
      <w:b/>
      <w:bCs/>
    </w:rPr>
  </w:style>
  <w:style w:type="character" w:customStyle="1" w:styleId="133">
    <w:name w:val="页码 New"/>
    <w:basedOn w:val="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7"/>
    <customShpInfo spid="_x0000_s1028"/>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2018-03-15T03:42:00Z</dcterms:created>
  <dc:creator>Administrator</dc:creator>
  <cp:lastModifiedBy>Administrator</cp:lastModifiedBy>
  <dcterms:modified xsi:type="dcterms:W3CDTF">2018-03-15T03:45:27Z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