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spacing w:line="400" w:lineRule="exact"/>
        <w:ind w:firstLine="480"/>
        <w:rPr>
          <w:rFonts w:hint="eastAsia" w:ascii="宋体" w:hAnsi="宋体"/>
          <w:sz w:val="24"/>
        </w:rPr>
      </w:pPr>
    </w:p>
    <w:p>
      <w:pPr>
        <w:spacing w:line="400" w:lineRule="exact"/>
      </w:pPr>
    </w:p>
    <w:p>
      <w:pPr>
        <w:spacing w:line="400" w:lineRule="exact"/>
      </w:pPr>
    </w:p>
    <w:p>
      <w:pPr>
        <w:spacing w:line="400" w:lineRule="exact"/>
      </w:pPr>
    </w:p>
    <w:p>
      <w:pPr>
        <w:jc w:val="center"/>
        <w:rPr>
          <w:rFonts w:hint="eastAsia" w:ascii="黑体" w:eastAsia="黑体"/>
          <w:sz w:val="48"/>
          <w:szCs w:val="48"/>
          <w:u w:val="single"/>
          <w:lang w:eastAsia="zh-CN"/>
        </w:rPr>
      </w:pPr>
      <w:r>
        <w:rPr>
          <w:rFonts w:hint="eastAsia" w:ascii="黑体" w:eastAsia="黑体"/>
          <w:sz w:val="48"/>
          <w:szCs w:val="48"/>
          <w:u w:val="single"/>
          <w:lang w:eastAsia="zh-CN"/>
        </w:rPr>
        <w:t>上林观湖苑幼儿园（第二次招标）</w:t>
      </w:r>
    </w:p>
    <w:p>
      <w:pPr>
        <w:jc w:val="center"/>
        <w:rPr>
          <w:rFonts w:ascii="黑体" w:eastAsia="黑体"/>
          <w:sz w:val="48"/>
          <w:szCs w:val="48"/>
        </w:rPr>
      </w:pPr>
    </w:p>
    <w:p>
      <w:pPr>
        <w:spacing w:line="400" w:lineRule="exact"/>
      </w:pPr>
    </w:p>
    <w:p>
      <w:pPr>
        <w:jc w:val="center"/>
        <w:rPr>
          <w:rFonts w:ascii="宋体" w:hAnsi="宋体"/>
          <w:bCs/>
          <w:snapToGrid w:val="0"/>
          <w:spacing w:val="80"/>
          <w:kern w:val="0"/>
          <w:sz w:val="84"/>
          <w:szCs w:val="84"/>
        </w:rPr>
      </w:pPr>
      <w:r>
        <w:rPr>
          <w:rFonts w:hint="eastAsia" w:ascii="宋体" w:hAnsi="宋体"/>
          <w:bCs/>
          <w:snapToGrid w:val="0"/>
          <w:spacing w:val="80"/>
          <w:kern w:val="0"/>
          <w:sz w:val="84"/>
          <w:szCs w:val="84"/>
        </w:rPr>
        <w:t>施工</w:t>
      </w:r>
      <w:r>
        <w:rPr>
          <w:rFonts w:ascii="宋体" w:hAnsi="宋体"/>
          <w:bCs/>
          <w:snapToGrid w:val="0"/>
          <w:spacing w:val="80"/>
          <w:kern w:val="0"/>
          <w:sz w:val="84"/>
          <w:szCs w:val="84"/>
        </w:rPr>
        <w:t>招标文件</w:t>
      </w:r>
    </w:p>
    <w:p>
      <w:pPr>
        <w:spacing w:beforeLines="50" w:line="360" w:lineRule="auto"/>
        <w:jc w:val="center"/>
        <w:rPr>
          <w:rFonts w:ascii="宋体" w:hAnsi="宋体"/>
          <w:b/>
          <w:snapToGrid w:val="0"/>
          <w:kern w:val="0"/>
          <w:sz w:val="28"/>
          <w:szCs w:val="28"/>
        </w:rPr>
      </w:pPr>
      <w:bookmarkStart w:id="0" w:name="OLE_LINK1"/>
    </w:p>
    <w:p>
      <w:pPr>
        <w:spacing w:line="360" w:lineRule="auto"/>
        <w:jc w:val="center"/>
        <w:rPr>
          <w:rFonts w:ascii="宋体" w:hAnsi="宋体"/>
          <w:b/>
          <w:snapToGrid w:val="0"/>
          <w:kern w:val="0"/>
          <w:sz w:val="28"/>
          <w:szCs w:val="28"/>
        </w:rPr>
      </w:pPr>
    </w:p>
    <w:bookmarkEnd w:id="0"/>
    <w:p>
      <w:pPr>
        <w:spacing w:line="360" w:lineRule="auto"/>
        <w:jc w:val="center"/>
        <w:rPr>
          <w:b/>
          <w:snapToGrid w:val="0"/>
          <w:kern w:val="0"/>
          <w:sz w:val="32"/>
        </w:rPr>
      </w:pPr>
    </w:p>
    <w:p>
      <w:pPr>
        <w:spacing w:line="360" w:lineRule="auto"/>
        <w:jc w:val="center"/>
        <w:rPr>
          <w:b/>
          <w:snapToGrid w:val="0"/>
          <w:kern w:val="0"/>
          <w:sz w:val="32"/>
        </w:rPr>
      </w:pPr>
    </w:p>
    <w:p>
      <w:pPr>
        <w:spacing w:line="360" w:lineRule="auto"/>
        <w:jc w:val="center"/>
        <w:rPr>
          <w:b/>
          <w:snapToGrid w:val="0"/>
          <w:kern w:val="0"/>
          <w:sz w:val="32"/>
        </w:rPr>
      </w:pPr>
    </w:p>
    <w:p>
      <w:pPr>
        <w:snapToGrid w:val="0"/>
        <w:spacing w:line="600" w:lineRule="atLeast"/>
        <w:rPr>
          <w:sz w:val="30"/>
          <w:u w:val="single"/>
        </w:rPr>
      </w:pPr>
      <w:r>
        <w:rPr>
          <w:rFonts w:hint="eastAsia"/>
          <w:sz w:val="30"/>
        </w:rPr>
        <w:t>招 标 人：</w:t>
      </w:r>
      <w:r>
        <w:rPr>
          <w:rFonts w:hint="eastAsia" w:ascii="华文新魏" w:eastAsia="华文新魏"/>
          <w:sz w:val="30"/>
          <w:u w:val="single"/>
        </w:rPr>
        <w:t>佛山市南海恒德胜嘉置业有限公司</w:t>
      </w:r>
      <w:r>
        <w:rPr>
          <w:rFonts w:hint="eastAsia"/>
          <w:sz w:val="30"/>
          <w:u w:val="single"/>
        </w:rPr>
        <w:t>（盖单位章）</w:t>
      </w:r>
    </w:p>
    <w:p>
      <w:pPr>
        <w:snapToGrid w:val="0"/>
        <w:spacing w:line="600" w:lineRule="atLeast"/>
        <w:rPr>
          <w:sz w:val="30"/>
          <w:u w:val="single"/>
        </w:rPr>
      </w:pPr>
    </w:p>
    <w:p>
      <w:pPr>
        <w:snapToGrid w:val="0"/>
        <w:spacing w:line="600" w:lineRule="atLeast"/>
        <w:rPr>
          <w:sz w:val="30"/>
          <w:u w:val="single"/>
        </w:rPr>
      </w:pPr>
    </w:p>
    <w:p>
      <w:pPr>
        <w:snapToGrid w:val="0"/>
        <w:spacing w:line="600" w:lineRule="atLeast"/>
        <w:rPr>
          <w:sz w:val="30"/>
        </w:rPr>
      </w:pPr>
      <w:r>
        <w:rPr>
          <w:rFonts w:hint="eastAsia"/>
          <w:sz w:val="30"/>
        </w:rPr>
        <w:t>招标代理机构：</w:t>
      </w:r>
      <w:r>
        <w:rPr>
          <w:rFonts w:hint="eastAsia"/>
          <w:sz w:val="30"/>
          <w:u w:val="single"/>
        </w:rPr>
        <w:t>广东创南工程管理有限公司（盖单位章）</w:t>
      </w:r>
    </w:p>
    <w:p>
      <w:pPr>
        <w:snapToGrid w:val="0"/>
        <w:spacing w:line="600" w:lineRule="atLeast"/>
        <w:rPr>
          <w:sz w:val="30"/>
        </w:rPr>
      </w:pPr>
      <w:r>
        <w:rPr>
          <w:rFonts w:hint="eastAsia"/>
          <w:sz w:val="30"/>
        </w:rPr>
        <w:t>联系人：</w:t>
      </w:r>
      <w:r>
        <w:rPr>
          <w:rFonts w:hint="eastAsia"/>
          <w:sz w:val="30"/>
          <w:u w:val="single"/>
        </w:rPr>
        <w:t>麦炽坤</w:t>
      </w:r>
      <w:r>
        <w:rPr>
          <w:rFonts w:hint="eastAsia"/>
          <w:sz w:val="30"/>
        </w:rPr>
        <w:t xml:space="preserve">    联系电话: </w:t>
      </w:r>
      <w:r>
        <w:rPr>
          <w:rFonts w:hint="eastAsia"/>
          <w:sz w:val="30"/>
          <w:u w:val="single"/>
        </w:rPr>
        <w:t>0757-86253386</w:t>
      </w:r>
    </w:p>
    <w:p>
      <w:pPr>
        <w:snapToGrid w:val="0"/>
        <w:spacing w:line="600" w:lineRule="atLeast"/>
        <w:rPr>
          <w:sz w:val="30"/>
          <w:u w:val="single"/>
        </w:rPr>
      </w:pPr>
      <w:r>
        <w:rPr>
          <w:rFonts w:hint="eastAsia"/>
          <w:sz w:val="30"/>
        </w:rPr>
        <w:t>传真号码：</w:t>
      </w:r>
      <w:r>
        <w:rPr>
          <w:rFonts w:hint="eastAsia"/>
          <w:sz w:val="30"/>
          <w:u w:val="single"/>
        </w:rPr>
        <w:t xml:space="preserve">0757-86316628   </w:t>
      </w:r>
      <w:r>
        <w:rPr>
          <w:rFonts w:hint="eastAsia"/>
          <w:sz w:val="30"/>
        </w:rPr>
        <w:t xml:space="preserve">    E-mail：</w:t>
      </w:r>
      <w:r>
        <w:rPr>
          <w:rFonts w:hint="eastAsia"/>
          <w:sz w:val="30"/>
          <w:u w:val="single"/>
        </w:rPr>
        <w:t>chuangnanzj@163.com</w:t>
      </w:r>
    </w:p>
    <w:p>
      <w:pPr>
        <w:snapToGrid w:val="0"/>
        <w:spacing w:line="600" w:lineRule="atLeast"/>
        <w:rPr>
          <w:sz w:val="30"/>
        </w:rPr>
      </w:pPr>
    </w:p>
    <w:p>
      <w:pPr>
        <w:spacing w:line="400" w:lineRule="exact"/>
        <w:jc w:val="center"/>
        <w:rPr>
          <w:rFonts w:ascii="楷体_GB2312" w:hAnsi="楷体_GB2312" w:eastAsia="楷体_GB2312" w:cs="楷体_GB2312"/>
          <w:sz w:val="32"/>
          <w:szCs w:val="32"/>
        </w:rPr>
      </w:pPr>
      <w:r>
        <w:rPr>
          <w:rFonts w:hint="eastAsia" w:ascii="黑体" w:eastAsia="黑体"/>
          <w:sz w:val="28"/>
          <w:szCs w:val="28"/>
          <w:u w:val="single"/>
        </w:rPr>
        <w:t>2018</w:t>
      </w:r>
      <w:r>
        <w:rPr>
          <w:rFonts w:hint="eastAsia" w:ascii="黑体" w:eastAsia="黑体"/>
          <w:sz w:val="28"/>
          <w:szCs w:val="28"/>
        </w:rPr>
        <w:t>年</w:t>
      </w:r>
      <w:r>
        <w:rPr>
          <w:rFonts w:hint="eastAsia" w:ascii="黑体" w:eastAsia="黑体"/>
          <w:sz w:val="28"/>
          <w:szCs w:val="28"/>
          <w:lang w:val="en-US" w:eastAsia="zh-CN"/>
        </w:rPr>
        <w:t xml:space="preserve">  </w:t>
      </w:r>
      <w:r>
        <w:rPr>
          <w:rFonts w:hint="eastAsia" w:ascii="黑体" w:eastAsia="黑体"/>
          <w:sz w:val="28"/>
          <w:szCs w:val="28"/>
        </w:rPr>
        <w:t>月</w:t>
      </w:r>
      <w:r>
        <w:rPr>
          <w:rFonts w:hint="eastAsia" w:ascii="黑体" w:eastAsia="黑体"/>
          <w:sz w:val="28"/>
          <w:szCs w:val="28"/>
          <w:lang w:val="en-US" w:eastAsia="zh-CN"/>
        </w:rPr>
        <w:t xml:space="preserve">  </w:t>
      </w:r>
      <w:r>
        <w:rPr>
          <w:rFonts w:hint="eastAsia" w:ascii="黑体" w:eastAsia="黑体"/>
          <w:sz w:val="28"/>
          <w:szCs w:val="28"/>
        </w:rPr>
        <w:t>日</w:t>
      </w:r>
    </w:p>
    <w:p>
      <w:pPr>
        <w:spacing w:line="400" w:lineRule="exact"/>
        <w:sectPr>
          <w:footerReference r:id="rId3" w:type="default"/>
          <w:pgSz w:w="11906" w:h="16838"/>
          <w:pgMar w:top="1440" w:right="1800" w:bottom="1440" w:left="1800" w:header="851" w:footer="992" w:gutter="0"/>
          <w:pgNumType w:start="1"/>
          <w:cols w:space="720" w:num="1"/>
          <w:docGrid w:type="lines" w:linePitch="312" w:charSpace="0"/>
        </w:sectPr>
      </w:pPr>
      <w:bookmarkStart w:id="1" w:name="_Toc152042286"/>
      <w:bookmarkStart w:id="2" w:name="_Toc144974478"/>
    </w:p>
    <w:p>
      <w:pPr>
        <w:spacing w:line="400" w:lineRule="exact"/>
        <w:jc w:val="center"/>
        <w:rPr>
          <w:rFonts w:ascii="黑体" w:hAnsi="黑体" w:eastAsia="黑体"/>
          <w:b/>
          <w:bCs/>
          <w:sz w:val="32"/>
        </w:rPr>
      </w:pPr>
      <w:r>
        <w:rPr>
          <w:rFonts w:hint="eastAsia" w:ascii="黑体" w:hAnsi="黑体" w:eastAsia="黑体"/>
          <w:b/>
          <w:bCs/>
          <w:sz w:val="32"/>
        </w:rPr>
        <w:t>目     录</w:t>
      </w:r>
      <w:bookmarkEnd w:id="1"/>
      <w:bookmarkEnd w:id="2"/>
    </w:p>
    <w:p>
      <w:pPr>
        <w:spacing w:line="400" w:lineRule="exact"/>
        <w:rPr>
          <w:rFonts w:ascii="黑体" w:hAnsi="宋体" w:eastAsia="黑体"/>
          <w:sz w:val="24"/>
        </w:rPr>
      </w:pPr>
    </w:p>
    <w:p>
      <w:pPr>
        <w:spacing w:line="400" w:lineRule="exact"/>
        <w:jc w:val="distribute"/>
        <w:rPr>
          <w:rFonts w:ascii="宋体" w:hAnsi="宋体"/>
          <w:szCs w:val="21"/>
        </w:rPr>
      </w:pPr>
      <w:r>
        <w:rPr>
          <w:rFonts w:hint="eastAsia" w:ascii="黑体" w:hAnsi="宋体" w:eastAsia="黑体"/>
          <w:sz w:val="24"/>
        </w:rPr>
        <w:t xml:space="preserve">投标文件否决性条款摘要 </w:t>
      </w:r>
      <w:r>
        <w:rPr>
          <w:rFonts w:hint="eastAsia" w:ascii="宋体" w:hAnsi="宋体"/>
          <w:szCs w:val="21"/>
        </w:rPr>
        <w:t>………………………………………………………………5</w:t>
      </w:r>
    </w:p>
    <w:p>
      <w:pPr>
        <w:spacing w:line="400" w:lineRule="exact"/>
        <w:jc w:val="distribute"/>
        <w:rPr>
          <w:rFonts w:ascii="宋体" w:hAnsi="宋体" w:cs="宋体"/>
          <w:szCs w:val="21"/>
        </w:rPr>
      </w:pPr>
      <w:r>
        <w:rPr>
          <w:rFonts w:hint="eastAsia" w:ascii="黑体" w:hAnsi="黑体" w:eastAsia="黑体" w:cs="黑体"/>
          <w:sz w:val="24"/>
        </w:rPr>
        <w:t>招标无效、投标无效、中标无效的认定及处理</w:t>
      </w:r>
      <w:r>
        <w:rPr>
          <w:rFonts w:hint="eastAsia" w:ascii="宋体" w:hAnsi="宋体" w:cs="宋体"/>
          <w:szCs w:val="21"/>
        </w:rPr>
        <w:t>…………………………………………8</w:t>
      </w:r>
    </w:p>
    <w:p>
      <w:pPr>
        <w:spacing w:line="400" w:lineRule="exact"/>
        <w:jc w:val="distribute"/>
        <w:rPr>
          <w:rFonts w:ascii="宋体" w:hAnsi="宋体"/>
          <w:szCs w:val="21"/>
        </w:rPr>
      </w:pPr>
      <w:r>
        <w:rPr>
          <w:rFonts w:hint="eastAsia" w:ascii="黑体" w:hAnsi="黑体" w:eastAsia="黑体" w:cs="黑体"/>
          <w:sz w:val="24"/>
        </w:rPr>
        <w:t>不予退还投标保证金和诚信保证金的情形……</w:t>
      </w:r>
      <w:r>
        <w:rPr>
          <w:rFonts w:hint="eastAsia" w:ascii="宋体" w:hAnsi="宋体" w:cs="宋体"/>
          <w:szCs w:val="21"/>
        </w:rPr>
        <w:t>………………………………………10</w:t>
      </w:r>
    </w:p>
    <w:p>
      <w:pPr>
        <w:spacing w:line="400" w:lineRule="exact"/>
        <w:rPr>
          <w:rFonts w:ascii="黑体" w:hAnsi="宋体" w:eastAsia="黑体"/>
          <w:sz w:val="24"/>
        </w:rPr>
      </w:pPr>
      <w:r>
        <w:rPr>
          <w:rFonts w:hint="eastAsia" w:ascii="黑体" w:hAnsi="宋体" w:eastAsia="黑体"/>
          <w:sz w:val="24"/>
        </w:rPr>
        <w:t>第一章 招标邀请书（适用于邀请招标）</w:t>
      </w:r>
    </w:p>
    <w:p>
      <w:pPr>
        <w:tabs>
          <w:tab w:val="right" w:leader="middleDot" w:pos="8190"/>
        </w:tabs>
        <w:spacing w:line="340" w:lineRule="exact"/>
        <w:ind w:firstLine="420" w:firstLineChars="200"/>
        <w:jc w:val="distribute"/>
        <w:rPr>
          <w:rFonts w:ascii="宋体" w:hAnsi="宋体"/>
          <w:szCs w:val="21"/>
        </w:rPr>
      </w:pPr>
      <w:r>
        <w:rPr>
          <w:rFonts w:ascii="宋体" w:hAnsi="宋体"/>
          <w:szCs w:val="21"/>
        </w:rPr>
        <w:t>1.</w:t>
      </w:r>
      <w:r>
        <w:rPr>
          <w:rFonts w:hint="eastAsia" w:ascii="宋体" w:hAnsi="宋体"/>
          <w:szCs w:val="21"/>
        </w:rPr>
        <w:t>招标条件…………………………………………</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ascii="宋体" w:hAnsi="宋体"/>
          <w:szCs w:val="21"/>
        </w:rPr>
        <w:t>2.</w:t>
      </w:r>
      <w:r>
        <w:rPr>
          <w:rFonts w:hint="eastAsia" w:ascii="宋体" w:hAnsi="宋体"/>
          <w:szCs w:val="21"/>
        </w:rPr>
        <w:t>工程概况与招标范围………………………………………………………</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投标人资格要求……………………………………………………</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报名要求及招标文件、图纸等资料的获取…………………………</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投标担保金…………………………………………</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投标文件的递交……………………………………</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确认………………………………………………………………</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异议与投诉……………………………………………………</w:t>
      </w:r>
      <w:r>
        <w:rPr>
          <w:rFonts w:ascii="宋体" w:hAnsi="宋体"/>
          <w:szCs w:val="21"/>
        </w:rPr>
        <w:t>……………</w:t>
      </w:r>
      <w:r>
        <w:rPr>
          <w:rFonts w:hint="eastAsia" w:ascii="宋体" w:hAnsi="宋体"/>
          <w:szCs w:val="21"/>
        </w:rPr>
        <w:t>……………14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9</w:t>
      </w:r>
      <w:r>
        <w:rPr>
          <w:rFonts w:ascii="宋体" w:hAnsi="宋体"/>
          <w:szCs w:val="21"/>
        </w:rPr>
        <w:t>.</w:t>
      </w:r>
      <w:r>
        <w:rPr>
          <w:rFonts w:hint="eastAsia" w:ascii="宋体" w:hAnsi="宋体"/>
          <w:szCs w:val="21"/>
        </w:rPr>
        <w:t>其他………………………………………………………</w:t>
      </w:r>
      <w:r>
        <w:rPr>
          <w:rFonts w:ascii="宋体" w:hAnsi="宋体"/>
          <w:szCs w:val="21"/>
        </w:rPr>
        <w:t>………………</w:t>
      </w:r>
      <w:r>
        <w:rPr>
          <w:rFonts w:hint="eastAsia" w:ascii="宋体" w:hAnsi="宋体"/>
          <w:szCs w:val="21"/>
        </w:rPr>
        <w:t>………………14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10.联系方式……………………………………………………</w:t>
      </w:r>
      <w:r>
        <w:rPr>
          <w:rFonts w:ascii="宋体" w:hAnsi="宋体"/>
          <w:szCs w:val="21"/>
        </w:rPr>
        <w:t>………………</w:t>
      </w:r>
      <w:r>
        <w:rPr>
          <w:rFonts w:hint="eastAsia" w:ascii="宋体" w:hAnsi="宋体"/>
          <w:szCs w:val="21"/>
        </w:rPr>
        <w:t>…………14</w:t>
      </w:r>
    </w:p>
    <w:p>
      <w:pPr>
        <w:tabs>
          <w:tab w:val="right" w:leader="middleDot" w:pos="8190"/>
        </w:tabs>
        <w:spacing w:line="340" w:lineRule="exact"/>
        <w:ind w:firstLine="57"/>
        <w:rPr>
          <w:rFonts w:ascii="宋体" w:hAnsi="宋体"/>
          <w:szCs w:val="21"/>
        </w:rPr>
      </w:pPr>
      <w:r>
        <w:rPr>
          <w:rFonts w:hint="eastAsia" w:ascii="黑体" w:hAnsi="宋体" w:eastAsia="黑体"/>
          <w:sz w:val="24"/>
        </w:rPr>
        <w:t>第二章 投标人须知</w:t>
      </w:r>
    </w:p>
    <w:p>
      <w:pPr>
        <w:tabs>
          <w:tab w:val="right" w:leader="middleDot" w:pos="8190"/>
        </w:tabs>
        <w:spacing w:line="360" w:lineRule="exact"/>
        <w:ind w:firstLine="420" w:firstLineChars="200"/>
        <w:jc w:val="distribute"/>
        <w:rPr>
          <w:rFonts w:ascii="宋体" w:hAnsi="宋体"/>
          <w:szCs w:val="21"/>
        </w:rPr>
      </w:pPr>
      <w:r>
        <w:rPr>
          <w:rFonts w:hint="eastAsia" w:ascii="宋体" w:hAnsi="宋体"/>
          <w:szCs w:val="21"/>
        </w:rPr>
        <w:t>投标人须知前附表……………………………………………………</w:t>
      </w:r>
      <w:r>
        <w:rPr>
          <w:rFonts w:ascii="宋体" w:hAnsi="宋体"/>
          <w:szCs w:val="21"/>
        </w:rPr>
        <w:t>………</w:t>
      </w:r>
      <w:r>
        <w:rPr>
          <w:rFonts w:hint="eastAsia" w:ascii="宋体" w:hAnsi="宋体"/>
          <w:szCs w:val="21"/>
        </w:rPr>
        <w:t>……………15</w:t>
      </w:r>
    </w:p>
    <w:p>
      <w:pPr>
        <w:tabs>
          <w:tab w:val="right" w:leader="middleDot" w:pos="8190"/>
        </w:tabs>
        <w:spacing w:line="360" w:lineRule="exact"/>
        <w:ind w:firstLine="420" w:firstLineChars="200"/>
        <w:rPr>
          <w:rFonts w:ascii="宋体" w:hAnsi="宋体"/>
          <w:szCs w:val="21"/>
        </w:rPr>
      </w:pPr>
      <w:r>
        <w:rPr>
          <w:rFonts w:hint="eastAsia" w:ascii="宋体" w:hAnsi="宋体"/>
          <w:szCs w:val="21"/>
        </w:rPr>
        <w:t>投标人须知正文部分</w:t>
      </w:r>
    </w:p>
    <w:p>
      <w:pPr>
        <w:tabs>
          <w:tab w:val="right" w:leader="middleDot" w:pos="8190"/>
        </w:tabs>
        <w:spacing w:line="340" w:lineRule="exact"/>
        <w:ind w:firstLine="420" w:firstLineChars="200"/>
        <w:rPr>
          <w:rFonts w:ascii="宋体" w:hAnsi="宋体"/>
        </w:rPr>
      </w:pPr>
      <w:r>
        <w:rPr>
          <w:rFonts w:hint="eastAsia" w:ascii="宋体" w:hAnsi="宋体"/>
        </w:rPr>
        <w:t>1.总则</w:t>
      </w:r>
    </w:p>
    <w:p>
      <w:pPr>
        <w:tabs>
          <w:tab w:val="right" w:leader="middleDot" w:pos="8190"/>
        </w:tabs>
        <w:spacing w:line="340" w:lineRule="exact"/>
        <w:ind w:firstLine="840" w:firstLineChars="400"/>
        <w:jc w:val="distribute"/>
        <w:rPr>
          <w:rFonts w:ascii="宋体" w:hAnsi="宋体"/>
        </w:rPr>
      </w:pPr>
      <w:r>
        <w:rPr>
          <w:rFonts w:hint="eastAsia"/>
        </w:rPr>
        <w:t xml:space="preserve">1.1 项目概况 </w:t>
      </w:r>
      <w:r>
        <w:rPr>
          <w:rFonts w:hint="eastAsia" w:ascii="宋体" w:hAnsi="宋体"/>
          <w:szCs w:val="21"/>
        </w:rPr>
        <w:t>…………………………………………………</w:t>
      </w:r>
      <w:r>
        <w:rPr>
          <w:rFonts w:ascii="宋体" w:hAnsi="宋体"/>
          <w:szCs w:val="21"/>
        </w:rPr>
        <w:t>………</w:t>
      </w:r>
      <w:r>
        <w:rPr>
          <w:rFonts w:hint="eastAsia" w:ascii="宋体" w:hAnsi="宋体"/>
          <w:szCs w:val="21"/>
        </w:rPr>
        <w:t>……………23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1.2资金来源和落实情况 …………………………………………………………23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1.3</w:t>
      </w:r>
      <w:r>
        <w:rPr>
          <w:rFonts w:hint="eastAsia" w:ascii="宋体" w:hAnsi="宋体"/>
        </w:rPr>
        <w:t xml:space="preserve">招标范围、计划工期、承包方式和质量要求 </w:t>
      </w:r>
      <w:r>
        <w:rPr>
          <w:rFonts w:hint="eastAsia" w:ascii="宋体" w:hAnsi="宋体"/>
          <w:szCs w:val="21"/>
        </w:rPr>
        <w:t>……</w:t>
      </w:r>
      <w:r>
        <w:rPr>
          <w:rFonts w:ascii="宋体" w:hAnsi="宋体"/>
          <w:szCs w:val="21"/>
        </w:rPr>
        <w:t>…</w:t>
      </w:r>
      <w:r>
        <w:rPr>
          <w:rFonts w:hint="eastAsia" w:ascii="宋体" w:hAnsi="宋体"/>
          <w:szCs w:val="21"/>
        </w:rPr>
        <w:t>…………………………23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1.4投标人资格要求 ………………………………………………………………23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1.5费用承担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1.6保密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1.7语言文字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1.8计量单位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1.9踏勘现场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1.10投标预备会…</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1.11分包……………</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1.12偏离………………</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24</w:t>
      </w:r>
    </w:p>
    <w:p>
      <w:pPr>
        <w:tabs>
          <w:tab w:val="right" w:leader="middleDot" w:pos="8190"/>
        </w:tabs>
        <w:spacing w:line="340" w:lineRule="exact"/>
        <w:rPr>
          <w:rFonts w:ascii="宋体" w:hAnsi="宋体"/>
          <w:szCs w:val="21"/>
        </w:rPr>
      </w:pPr>
      <w:r>
        <w:rPr>
          <w:rFonts w:hint="eastAsia" w:ascii="宋体" w:hAnsi="宋体"/>
          <w:szCs w:val="21"/>
        </w:rPr>
        <w:t xml:space="preserve">    2.招标文件</w:t>
      </w:r>
    </w:p>
    <w:p>
      <w:pPr>
        <w:tabs>
          <w:tab w:val="right" w:leader="middleDot" w:pos="8190"/>
        </w:tabs>
        <w:spacing w:line="340" w:lineRule="exact"/>
        <w:jc w:val="distribute"/>
        <w:rPr>
          <w:rFonts w:ascii="宋体" w:hAnsi="宋体"/>
          <w:szCs w:val="21"/>
        </w:rPr>
      </w:pPr>
      <w:r>
        <w:rPr>
          <w:rFonts w:hint="eastAsia" w:ascii="宋体" w:hAnsi="宋体"/>
          <w:szCs w:val="21"/>
        </w:rPr>
        <w:t xml:space="preserve">        2.1招标文件的组成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2.2招标文件的澄清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2.3招标文件的修改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2.4招标文件的效力 ………………………………………………………………25</w:t>
      </w:r>
    </w:p>
    <w:p>
      <w:pPr>
        <w:tabs>
          <w:tab w:val="right" w:leader="middleDot" w:pos="8190"/>
        </w:tabs>
        <w:spacing w:line="340" w:lineRule="exact"/>
        <w:ind w:firstLine="420" w:firstLineChars="200"/>
        <w:rPr>
          <w:rFonts w:ascii="宋体" w:hAnsi="宋体"/>
          <w:szCs w:val="21"/>
        </w:rPr>
      </w:pPr>
      <w:r>
        <w:rPr>
          <w:rFonts w:hint="eastAsia" w:ascii="宋体" w:hAnsi="宋体"/>
          <w:szCs w:val="21"/>
        </w:rPr>
        <w:t>3.投标文件</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3.1投标文件的组成（适用于一般性工程） </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3.2投标报价 ……………………………………</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3.3投标有效期 …</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3.4投标担保金 </w:t>
      </w:r>
      <w:r>
        <w:rPr>
          <w:rFonts w:ascii="宋体" w:hAnsi="宋体"/>
          <w:szCs w:val="21"/>
        </w:rPr>
        <w:t>……</w:t>
      </w:r>
      <w:r>
        <w:rPr>
          <w:rFonts w:hint="eastAsia" w:ascii="宋体" w:hAnsi="宋体"/>
          <w:szCs w:val="21"/>
        </w:rPr>
        <w:t>………………………………………………………………27</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3.5资格审查文件 </w:t>
      </w:r>
      <w:r>
        <w:rPr>
          <w:rFonts w:ascii="宋体" w:hAnsi="宋体"/>
          <w:szCs w:val="21"/>
        </w:rPr>
        <w:t>…</w:t>
      </w:r>
      <w:r>
        <w:rPr>
          <w:rFonts w:hint="eastAsia" w:ascii="宋体" w:hAnsi="宋体"/>
          <w:szCs w:val="21"/>
        </w:rPr>
        <w:t>………………………………………………………………27</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3.6备选投标方案 </w:t>
      </w:r>
      <w:r>
        <w:rPr>
          <w:rFonts w:ascii="宋体" w:hAnsi="宋体"/>
          <w:szCs w:val="21"/>
        </w:rPr>
        <w:t>…</w:t>
      </w:r>
      <w:r>
        <w:rPr>
          <w:rFonts w:hint="eastAsia" w:ascii="宋体" w:hAnsi="宋体"/>
          <w:szCs w:val="21"/>
        </w:rPr>
        <w:t>………………………………………………………………28</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3.7投标文件的编制 ………………………………………………………………28</w:t>
      </w:r>
    </w:p>
    <w:p>
      <w:pPr>
        <w:tabs>
          <w:tab w:val="right" w:leader="middleDot" w:pos="8190"/>
        </w:tabs>
        <w:spacing w:line="340" w:lineRule="exact"/>
        <w:ind w:firstLine="420"/>
        <w:rPr>
          <w:rFonts w:ascii="宋体" w:hAnsi="宋体"/>
          <w:szCs w:val="21"/>
        </w:rPr>
      </w:pPr>
      <w:r>
        <w:rPr>
          <w:rFonts w:hint="eastAsia" w:ascii="宋体" w:hAnsi="宋体"/>
          <w:szCs w:val="21"/>
        </w:rPr>
        <w:t>4.投标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4.1投标文件的密封和标记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4.2投标文件的递交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4.3投标文件的修改和撤回 ………</w:t>
      </w:r>
      <w:r>
        <w:rPr>
          <w:rFonts w:ascii="宋体" w:hAnsi="宋体"/>
          <w:szCs w:val="21"/>
        </w:rPr>
        <w:t>…</w:t>
      </w:r>
      <w:r>
        <w:rPr>
          <w:rFonts w:hint="eastAsia" w:ascii="宋体" w:hAnsi="宋体"/>
          <w:szCs w:val="21"/>
        </w:rPr>
        <w:t>……………………………………………29</w:t>
      </w:r>
    </w:p>
    <w:p>
      <w:pPr>
        <w:tabs>
          <w:tab w:val="right" w:leader="middleDot" w:pos="8190"/>
        </w:tabs>
        <w:spacing w:line="340" w:lineRule="exact"/>
        <w:ind w:firstLine="420"/>
        <w:rPr>
          <w:rFonts w:ascii="宋体" w:hAnsi="宋体"/>
          <w:szCs w:val="21"/>
        </w:rPr>
      </w:pPr>
      <w:r>
        <w:rPr>
          <w:rFonts w:hint="eastAsia" w:ascii="宋体" w:hAnsi="宋体"/>
          <w:szCs w:val="21"/>
        </w:rPr>
        <w:t>5.开标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5.1开标时间和地点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5.2开标程序 ……………</w:t>
      </w:r>
      <w:r>
        <w:rPr>
          <w:rFonts w:ascii="宋体" w:hAnsi="宋体"/>
          <w:szCs w:val="21"/>
        </w:rPr>
        <w:t>………</w:t>
      </w:r>
      <w:r>
        <w:rPr>
          <w:rFonts w:hint="eastAsia" w:ascii="宋体" w:hAnsi="宋体"/>
          <w:szCs w:val="21"/>
        </w:rPr>
        <w:t>…………………………………………………30</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5.3开标异议 </w:t>
      </w:r>
      <w:r>
        <w:rPr>
          <w:rFonts w:ascii="宋体" w:hAnsi="宋体"/>
          <w:szCs w:val="21"/>
        </w:rPr>
        <w:t>………</w:t>
      </w:r>
      <w:r>
        <w:rPr>
          <w:rFonts w:hint="eastAsia" w:ascii="宋体" w:hAnsi="宋体"/>
          <w:szCs w:val="21"/>
        </w:rPr>
        <w:t>………………………………………………………………30</w:t>
      </w:r>
    </w:p>
    <w:p>
      <w:pPr>
        <w:tabs>
          <w:tab w:val="right" w:leader="middleDot" w:pos="8190"/>
        </w:tabs>
        <w:spacing w:line="340" w:lineRule="exact"/>
        <w:ind w:firstLine="420"/>
        <w:rPr>
          <w:rFonts w:ascii="宋体" w:hAnsi="宋体"/>
          <w:szCs w:val="21"/>
        </w:rPr>
      </w:pPr>
      <w:r>
        <w:rPr>
          <w:rFonts w:hint="eastAsia" w:ascii="宋体" w:hAnsi="宋体"/>
          <w:szCs w:val="21"/>
        </w:rPr>
        <w:t>6.评标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6.1评标委员会 ……</w:t>
      </w:r>
      <w:r>
        <w:rPr>
          <w:rFonts w:ascii="宋体" w:hAnsi="宋体"/>
          <w:szCs w:val="21"/>
        </w:rPr>
        <w:t>……</w:t>
      </w:r>
      <w:r>
        <w:rPr>
          <w:rFonts w:hint="eastAsia" w:ascii="宋体" w:hAnsi="宋体"/>
          <w:szCs w:val="21"/>
        </w:rPr>
        <w:t>…………………………………………………………30</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6.2评标原则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6.3评标 </w:t>
      </w:r>
      <w:r>
        <w:rPr>
          <w:rFonts w:ascii="宋体" w:hAnsi="宋体"/>
          <w:szCs w:val="21"/>
        </w:rPr>
        <w:t>……………</w:t>
      </w:r>
      <w:r>
        <w:rPr>
          <w:rFonts w:hint="eastAsia" w:ascii="宋体" w:hAnsi="宋体"/>
          <w:szCs w:val="21"/>
        </w:rPr>
        <w:t>………………………………………………………………31</w:t>
      </w:r>
    </w:p>
    <w:p>
      <w:pPr>
        <w:tabs>
          <w:tab w:val="right" w:leader="middleDot" w:pos="8190"/>
        </w:tabs>
        <w:spacing w:line="340" w:lineRule="exact"/>
        <w:ind w:firstLine="420"/>
        <w:rPr>
          <w:rFonts w:ascii="宋体" w:hAnsi="宋体"/>
          <w:szCs w:val="21"/>
        </w:rPr>
      </w:pPr>
      <w:r>
        <w:rPr>
          <w:rFonts w:hint="eastAsia" w:ascii="宋体" w:hAnsi="宋体"/>
          <w:szCs w:val="21"/>
        </w:rPr>
        <w:t>7.合同授予</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7.1中标候选人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7.2中标候选人公示 ………………………………………………………………31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7.3 定标……………………………………………………………………………31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7.4 中标通知书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7.5 履约担保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7.6 签订合同 ………</w:t>
      </w:r>
      <w:r>
        <w:rPr>
          <w:rFonts w:ascii="宋体" w:hAnsi="宋体"/>
          <w:szCs w:val="21"/>
        </w:rPr>
        <w:t>………</w:t>
      </w:r>
      <w:r>
        <w:rPr>
          <w:rFonts w:hint="eastAsia" w:ascii="宋体" w:hAnsi="宋体"/>
          <w:szCs w:val="21"/>
        </w:rPr>
        <w:t>………………………………………………………32</w:t>
      </w:r>
    </w:p>
    <w:p>
      <w:pPr>
        <w:tabs>
          <w:tab w:val="right" w:leader="middleDot" w:pos="8190"/>
        </w:tabs>
        <w:spacing w:line="340" w:lineRule="exact"/>
        <w:ind w:firstLine="420"/>
        <w:rPr>
          <w:rFonts w:ascii="宋体" w:hAnsi="宋体"/>
          <w:szCs w:val="21"/>
        </w:rPr>
      </w:pPr>
      <w:r>
        <w:rPr>
          <w:rFonts w:hint="eastAsia" w:ascii="宋体" w:hAnsi="宋体"/>
          <w:szCs w:val="21"/>
        </w:rPr>
        <w:t>8.重新招标和不招标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8.1重新招标 </w:t>
      </w:r>
      <w:r>
        <w:rPr>
          <w:rFonts w:ascii="宋体" w:hAnsi="宋体"/>
          <w:szCs w:val="21"/>
        </w:rPr>
        <w:t>………</w:t>
      </w:r>
      <w:r>
        <w:rPr>
          <w:rFonts w:hint="eastAsia" w:ascii="宋体" w:hAnsi="宋体"/>
          <w:szCs w:val="21"/>
        </w:rPr>
        <w:t>………………………………………………………………32</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8.2不再招标 </w:t>
      </w:r>
      <w:r>
        <w:rPr>
          <w:rFonts w:ascii="宋体" w:hAnsi="宋体"/>
          <w:szCs w:val="21"/>
        </w:rPr>
        <w:t>………</w:t>
      </w:r>
      <w:r>
        <w:rPr>
          <w:rFonts w:hint="eastAsia" w:ascii="宋体" w:hAnsi="宋体"/>
          <w:szCs w:val="21"/>
        </w:rPr>
        <w:t>………………………………………………………………32</w:t>
      </w:r>
    </w:p>
    <w:p>
      <w:pPr>
        <w:tabs>
          <w:tab w:val="right" w:leader="middleDot" w:pos="8190"/>
        </w:tabs>
        <w:spacing w:line="340" w:lineRule="exact"/>
        <w:ind w:firstLine="420"/>
        <w:rPr>
          <w:rFonts w:ascii="宋体" w:hAnsi="宋体"/>
          <w:szCs w:val="21"/>
        </w:rPr>
      </w:pPr>
      <w:r>
        <w:rPr>
          <w:rFonts w:hint="eastAsia" w:ascii="宋体" w:hAnsi="宋体"/>
          <w:szCs w:val="21"/>
        </w:rPr>
        <w:t>9.纪律和监督</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9.1对招标人的纪律要求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9.2对投标人的纪律要求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9.3对评标委员会成员的纪律要求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9.4对与评标活动有关的工作人员的纪律要求 …………………………………33</w:t>
      </w:r>
    </w:p>
    <w:p>
      <w:pPr>
        <w:tabs>
          <w:tab w:val="right" w:leader="middleDot" w:pos="8190"/>
        </w:tabs>
        <w:spacing w:line="340" w:lineRule="exact"/>
        <w:jc w:val="distribute"/>
        <w:rPr>
          <w:rFonts w:ascii="宋体" w:hAnsi="宋体"/>
          <w:szCs w:val="21"/>
        </w:rPr>
      </w:pPr>
      <w:r>
        <w:rPr>
          <w:rFonts w:hint="eastAsia" w:ascii="宋体" w:hAnsi="宋体"/>
          <w:szCs w:val="21"/>
        </w:rPr>
        <w:t xml:space="preserve">        9.5异议和投诉………………………………………………………………………33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10.需要补充的其他内容 …………………………………………………………………34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 xml:space="preserve">    附表一：问题澄清通知</w:t>
      </w:r>
      <w:r>
        <w:rPr>
          <w:rFonts w:ascii="宋体" w:hAnsi="宋体"/>
          <w:szCs w:val="21"/>
        </w:rPr>
        <w:t>……</w:t>
      </w:r>
      <w:r>
        <w:rPr>
          <w:rFonts w:hint="eastAsia" w:ascii="宋体" w:hAnsi="宋体"/>
          <w:szCs w:val="21"/>
        </w:rPr>
        <w:t>…………………………………………………………35</w:t>
      </w:r>
    </w:p>
    <w:p>
      <w:pPr>
        <w:tabs>
          <w:tab w:val="right" w:leader="middleDot" w:pos="8190"/>
        </w:tabs>
        <w:spacing w:line="340" w:lineRule="exact"/>
        <w:jc w:val="distribute"/>
        <w:rPr>
          <w:rFonts w:ascii="宋体" w:hAnsi="宋体"/>
          <w:szCs w:val="21"/>
        </w:rPr>
      </w:pPr>
      <w:r>
        <w:rPr>
          <w:rFonts w:hint="eastAsia" w:ascii="宋体" w:hAnsi="宋体"/>
          <w:szCs w:val="21"/>
        </w:rPr>
        <w:t xml:space="preserve">        附表二：问题的澄清</w:t>
      </w:r>
      <w:r>
        <w:rPr>
          <w:rFonts w:ascii="宋体" w:hAnsi="宋体"/>
          <w:szCs w:val="21"/>
        </w:rPr>
        <w:t>…</w:t>
      </w:r>
      <w:r>
        <w:rPr>
          <w:rFonts w:hint="eastAsia" w:ascii="宋体" w:hAnsi="宋体"/>
          <w:szCs w:val="21"/>
        </w:rPr>
        <w:t>………………………………………………………………36</w:t>
      </w:r>
    </w:p>
    <w:p>
      <w:pPr>
        <w:tabs>
          <w:tab w:val="right" w:leader="middleDot" w:pos="8190"/>
        </w:tabs>
        <w:spacing w:line="340" w:lineRule="exact"/>
        <w:rPr>
          <w:rFonts w:ascii="黑体" w:hAnsi="宋体" w:eastAsia="黑体"/>
          <w:sz w:val="24"/>
        </w:rPr>
      </w:pPr>
      <w:r>
        <w:rPr>
          <w:rFonts w:hint="eastAsia" w:ascii="黑体" w:hAnsi="宋体" w:eastAsia="黑体"/>
          <w:sz w:val="24"/>
        </w:rPr>
        <w:t>评标办法(经评审的最低投标价法)</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评标办法前附表……………………</w:t>
      </w:r>
      <w:r>
        <w:rPr>
          <w:rFonts w:ascii="宋体" w:hAnsi="宋体"/>
          <w:szCs w:val="21"/>
        </w:rPr>
        <w:t>……………</w:t>
      </w:r>
      <w:r>
        <w:rPr>
          <w:rFonts w:hint="eastAsia" w:ascii="宋体" w:hAnsi="宋体"/>
          <w:szCs w:val="21"/>
        </w:rPr>
        <w:t>…………………………………………37</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评标办法正文部分…………………………………</w:t>
      </w:r>
      <w:r>
        <w:rPr>
          <w:rFonts w:ascii="宋体" w:hAnsi="宋体"/>
          <w:szCs w:val="21"/>
        </w:rPr>
        <w:t>…………………………</w:t>
      </w:r>
      <w:r>
        <w:rPr>
          <w:rFonts w:hint="eastAsia" w:ascii="宋体" w:hAnsi="宋体"/>
          <w:szCs w:val="21"/>
        </w:rPr>
        <w:t>……………39</w:t>
      </w:r>
    </w:p>
    <w:p>
      <w:pPr>
        <w:spacing w:line="400" w:lineRule="exact"/>
        <w:rPr>
          <w:rFonts w:ascii="黑体" w:hAnsi="宋体" w:eastAsia="黑体"/>
          <w:sz w:val="24"/>
        </w:rPr>
      </w:pPr>
      <w:r>
        <w:rPr>
          <w:rFonts w:hint="eastAsia" w:ascii="黑体" w:hAnsi="宋体" w:eastAsia="黑体"/>
          <w:sz w:val="24"/>
        </w:rPr>
        <w:t>第四章 合同条款及格式</w:t>
      </w:r>
    </w:p>
    <w:p>
      <w:pPr>
        <w:tabs>
          <w:tab w:val="right" w:leader="middleDot" w:pos="8190"/>
        </w:tabs>
        <w:spacing w:line="340" w:lineRule="exact"/>
        <w:ind w:firstLine="411" w:firstLineChars="196"/>
        <w:jc w:val="distribute"/>
        <w:rPr>
          <w:rFonts w:ascii="宋体" w:hAnsi="宋体"/>
          <w:szCs w:val="21"/>
        </w:rPr>
      </w:pPr>
      <w:r>
        <w:rPr>
          <w:rFonts w:hint="eastAsia" w:ascii="宋体" w:hAnsi="宋体"/>
          <w:b/>
          <w:szCs w:val="21"/>
        </w:rPr>
        <w:t xml:space="preserve">第一部分 合同协议书 </w:t>
      </w:r>
      <w:r>
        <w:rPr>
          <w:rFonts w:hint="eastAsia" w:ascii="宋体" w:hAnsi="宋体"/>
          <w:szCs w:val="21"/>
        </w:rPr>
        <w:t>……………………………………………………………</w:t>
      </w:r>
      <w:r>
        <w:rPr>
          <w:rFonts w:ascii="宋体" w:hAnsi="宋体"/>
          <w:szCs w:val="21"/>
        </w:rPr>
        <w:t>……</w:t>
      </w:r>
      <w:r>
        <w:rPr>
          <w:rFonts w:hint="eastAsia" w:ascii="宋体" w:hAnsi="宋体"/>
          <w:szCs w:val="21"/>
        </w:rPr>
        <w:t>45</w:t>
      </w:r>
    </w:p>
    <w:p>
      <w:pPr>
        <w:tabs>
          <w:tab w:val="right" w:leader="middleDot" w:pos="8190"/>
        </w:tabs>
        <w:spacing w:line="340" w:lineRule="exact"/>
        <w:ind w:firstLine="411" w:firstLineChars="196"/>
        <w:jc w:val="distribute"/>
        <w:rPr>
          <w:rFonts w:ascii="宋体" w:hAnsi="宋体"/>
          <w:b/>
          <w:szCs w:val="21"/>
        </w:rPr>
      </w:pPr>
      <w:r>
        <w:rPr>
          <w:rFonts w:hint="eastAsia" w:ascii="宋体" w:hAnsi="宋体"/>
          <w:b/>
        </w:rPr>
        <w:t xml:space="preserve">第二部分 通用合同条款 </w:t>
      </w:r>
      <w:r>
        <w:rPr>
          <w:rFonts w:ascii="宋体" w:hAnsi="宋体"/>
          <w:b/>
        </w:rPr>
        <w:t>…</w:t>
      </w:r>
      <w:r>
        <w:rPr>
          <w:rFonts w:hint="eastAsia" w:ascii="宋体" w:hAnsi="宋体"/>
          <w:szCs w:val="21"/>
        </w:rPr>
        <w:t>……………………………………………………………48</w:t>
      </w:r>
    </w:p>
    <w:p>
      <w:pPr>
        <w:pStyle w:val="322"/>
        <w:ind w:left="0" w:firstLine="411" w:firstLineChars="196"/>
        <w:jc w:val="distribute"/>
        <w:rPr>
          <w:rStyle w:val="118"/>
          <w:rFonts w:ascii="宋体" w:hAnsi="宋体"/>
          <w:b/>
          <w:bCs/>
          <w:color w:val="auto"/>
          <w:sz w:val="21"/>
          <w:szCs w:val="21"/>
          <w:u w:val="none"/>
        </w:rPr>
      </w:pPr>
      <w:r>
        <w:rPr>
          <w:rStyle w:val="118"/>
          <w:rFonts w:hint="eastAsia" w:ascii="宋体" w:hAnsi="宋体"/>
          <w:b/>
          <w:bCs/>
          <w:color w:val="auto"/>
          <w:sz w:val="21"/>
          <w:szCs w:val="21"/>
          <w:u w:val="none"/>
        </w:rPr>
        <w:t xml:space="preserve">第三部分 专用合同条款 </w:t>
      </w:r>
      <w:r>
        <w:rPr>
          <w:rStyle w:val="118"/>
          <w:rFonts w:ascii="宋体" w:hAnsi="宋体"/>
          <w:b/>
          <w:bCs/>
          <w:color w:val="auto"/>
          <w:sz w:val="21"/>
          <w:szCs w:val="21"/>
          <w:u w:val="none"/>
        </w:rPr>
        <w:t>…</w:t>
      </w:r>
      <w:r>
        <w:rPr>
          <w:rFonts w:hint="eastAsia" w:ascii="宋体" w:hAnsi="宋体"/>
        </w:rPr>
        <w:t>……………………………………………………………49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 一般约定</w:t>
      </w:r>
      <w:r>
        <w:rPr>
          <w:rFonts w:ascii="宋体" w:hAnsi="宋体" w:cs="Times New Roman"/>
        </w:rPr>
        <w:tab/>
      </w:r>
      <w:r>
        <w:rPr>
          <w:rFonts w:hint="eastAsia" w:ascii="宋体" w:hAnsi="宋体"/>
        </w:rPr>
        <w:t>………………</w:t>
      </w:r>
      <w:r>
        <w:rPr>
          <w:rFonts w:ascii="宋体" w:hAnsi="宋体"/>
        </w:rPr>
        <w:t>………………</w:t>
      </w:r>
      <w:r>
        <w:rPr>
          <w:rFonts w:hint="eastAsia" w:ascii="宋体" w:hAnsi="宋体"/>
        </w:rPr>
        <w:t>………………………………………………49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2. 发包人</w:t>
      </w:r>
      <w:r>
        <w:rPr>
          <w:rFonts w:hint="eastAsia" w:ascii="宋体" w:hAnsi="宋体"/>
        </w:rPr>
        <w:t>……………………………………</w:t>
      </w:r>
      <w:r>
        <w:rPr>
          <w:rFonts w:ascii="宋体" w:hAnsi="宋体"/>
        </w:rPr>
        <w:t>……………</w:t>
      </w:r>
      <w:r>
        <w:rPr>
          <w:rFonts w:hint="eastAsia" w:ascii="宋体" w:hAnsi="宋体"/>
        </w:rPr>
        <w:t>………………………………52</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3. 承包人</w:t>
      </w:r>
      <w:r>
        <w:rPr>
          <w:rFonts w:hint="eastAsia" w:ascii="宋体" w:hAnsi="宋体"/>
        </w:rPr>
        <w:t>……………………………………………………………</w:t>
      </w:r>
      <w:r>
        <w:rPr>
          <w:rFonts w:ascii="宋体" w:hAnsi="宋体"/>
        </w:rPr>
        <w:t>…………………</w:t>
      </w:r>
      <w:r>
        <w:rPr>
          <w:rFonts w:hint="eastAsia" w:ascii="宋体" w:hAnsi="宋体"/>
        </w:rPr>
        <w:t>…53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4. 监理人…………………</w:t>
      </w:r>
      <w:r>
        <w:rPr>
          <w:rFonts w:hint="eastAsia" w:ascii="宋体" w:hAnsi="宋体"/>
        </w:rPr>
        <w:t>………………………………………………………………55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5. 工程质量………………</w:t>
      </w:r>
      <w:r>
        <w:rPr>
          <w:rFonts w:hint="eastAsia" w:ascii="宋体" w:hAnsi="宋体"/>
        </w:rPr>
        <w:t>………………………………………………………………56</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6. 安全文明施工与环境保护</w:t>
      </w:r>
      <w:r>
        <w:rPr>
          <w:rFonts w:hint="eastAsia" w:ascii="宋体" w:hAnsi="宋体"/>
        </w:rPr>
        <w:t xml:space="preserve"> ……………………………………………………………57</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7. 工期和进度</w:t>
      </w:r>
      <w:r>
        <w:rPr>
          <w:rFonts w:hint="eastAsia" w:ascii="宋体" w:hAnsi="宋体"/>
        </w:rPr>
        <w:t>………………</w:t>
      </w:r>
      <w:r>
        <w:rPr>
          <w:rFonts w:ascii="宋体" w:hAnsi="宋体"/>
        </w:rPr>
        <w:t>……………</w:t>
      </w:r>
      <w:r>
        <w:rPr>
          <w:rFonts w:hint="eastAsia" w:ascii="宋体" w:hAnsi="宋体"/>
        </w:rPr>
        <w:t>………………………………………………57</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8. 材料与设备……………</w:t>
      </w:r>
      <w:r>
        <w:rPr>
          <w:rFonts w:hint="eastAsia" w:ascii="宋体" w:hAnsi="宋体"/>
        </w:rPr>
        <w:t>………………………………………………………………</w:t>
      </w:r>
      <w:r>
        <w:rPr>
          <w:rFonts w:hint="eastAsia" w:ascii="宋体" w:hAnsi="宋体" w:cs="Times New Roman"/>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9. 试验与检验……………</w:t>
      </w:r>
      <w:r>
        <w:rPr>
          <w:rFonts w:hint="eastAsia" w:ascii="宋体" w:hAnsi="宋体"/>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10. 变更</w:t>
      </w:r>
      <w:r>
        <w:rPr>
          <w:rFonts w:hint="eastAsia" w:ascii="宋体" w:hAnsi="宋体"/>
        </w:rPr>
        <w:t>……………………………………………………………</w:t>
      </w:r>
      <w:r>
        <w:rPr>
          <w:rFonts w:ascii="宋体" w:hAnsi="宋体"/>
        </w:rPr>
        <w:t>……………………</w:t>
      </w:r>
      <w:r>
        <w:rPr>
          <w:rFonts w:hint="eastAsia" w:ascii="宋体" w:hAnsi="宋体"/>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11. 价格调整</w:t>
      </w:r>
      <w:r>
        <w:rPr>
          <w:rFonts w:hint="eastAsia" w:ascii="宋体" w:hAnsi="宋体"/>
        </w:rPr>
        <w:t>……………………………………………………………</w:t>
      </w:r>
      <w:r>
        <w:rPr>
          <w:rFonts w:ascii="宋体" w:hAnsi="宋体"/>
        </w:rPr>
        <w:t>………………</w:t>
      </w:r>
      <w:r>
        <w:rPr>
          <w:rFonts w:hint="eastAsia" w:ascii="宋体" w:hAnsi="宋体"/>
        </w:rPr>
        <w:t>…60</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12. 合同价格、计量与支付</w:t>
      </w:r>
      <w:r>
        <w:rPr>
          <w:rFonts w:hint="eastAsia" w:ascii="宋体" w:hAnsi="宋体"/>
        </w:rPr>
        <w:t>………………………………………………………………61</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13.验收和工程试车</w:t>
      </w:r>
      <w:r>
        <w:rPr>
          <w:rFonts w:hint="eastAsia" w:ascii="宋体" w:hAnsi="宋体"/>
        </w:rPr>
        <w:t>……………………………………………………………</w:t>
      </w:r>
      <w:r>
        <w:rPr>
          <w:rFonts w:ascii="宋体" w:hAnsi="宋体"/>
        </w:rPr>
        <w:t>………</w:t>
      </w:r>
      <w:r>
        <w:rPr>
          <w:rFonts w:hint="eastAsia" w:ascii="宋体" w:hAnsi="宋体"/>
        </w:rPr>
        <w:t>…62</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14. 竣工结算</w:t>
      </w:r>
      <w:r>
        <w:rPr>
          <w:rFonts w:hint="eastAsia" w:ascii="宋体" w:hAnsi="宋体"/>
        </w:rPr>
        <w:t>……………………………………………………………</w:t>
      </w:r>
      <w:r>
        <w:rPr>
          <w:rFonts w:ascii="宋体" w:hAnsi="宋体"/>
        </w:rPr>
        <w:t>………………</w:t>
      </w:r>
      <w:r>
        <w:rPr>
          <w:rFonts w:hint="eastAsia" w:ascii="宋体" w:hAnsi="宋体"/>
        </w:rPr>
        <w:t>…63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15. 缺陷责任期与保修</w:t>
      </w:r>
      <w:r>
        <w:rPr>
          <w:rFonts w:hint="eastAsia" w:ascii="宋体" w:hAnsi="宋体"/>
        </w:rPr>
        <w:t>……………………………………………………………</w:t>
      </w:r>
      <w:r>
        <w:rPr>
          <w:rFonts w:ascii="宋体" w:hAnsi="宋体"/>
        </w:rPr>
        <w:t>……</w:t>
      </w:r>
      <w:r>
        <w:rPr>
          <w:rFonts w:hint="eastAsia" w:ascii="宋体" w:hAnsi="宋体"/>
        </w:rPr>
        <w:t>…63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16. 违约</w:t>
      </w:r>
      <w:r>
        <w:rPr>
          <w:rFonts w:hint="eastAsia" w:ascii="宋体" w:hAnsi="宋体"/>
        </w:rPr>
        <w:t>……………………………………………………………</w:t>
      </w:r>
      <w:r>
        <w:rPr>
          <w:rFonts w:ascii="宋体" w:hAnsi="宋体"/>
        </w:rPr>
        <w:t>……………………</w:t>
      </w:r>
      <w:r>
        <w:rPr>
          <w:rFonts w:hint="eastAsia" w:ascii="宋体" w:hAnsi="宋体"/>
        </w:rPr>
        <w:t>…64</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17. 不可抗力</w:t>
      </w:r>
      <w:r>
        <w:rPr>
          <w:rFonts w:hint="eastAsia" w:ascii="宋体" w:hAnsi="宋体"/>
        </w:rPr>
        <w:t>……………………………………………………………</w:t>
      </w:r>
      <w:r>
        <w:rPr>
          <w:rFonts w:ascii="宋体" w:hAnsi="宋体"/>
        </w:rPr>
        <w:t>………………</w:t>
      </w:r>
      <w:r>
        <w:rPr>
          <w:rFonts w:hint="eastAsia" w:ascii="宋体" w:hAnsi="宋体"/>
        </w:rPr>
        <w:t>…65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18. 保险</w:t>
      </w:r>
      <w:r>
        <w:rPr>
          <w:rFonts w:hint="eastAsia" w:ascii="宋体" w:hAnsi="宋体"/>
        </w:rPr>
        <w:t>……………………………………………………………</w:t>
      </w:r>
      <w:r>
        <w:rPr>
          <w:rFonts w:ascii="宋体" w:hAnsi="宋体"/>
        </w:rPr>
        <w:t>……………………</w:t>
      </w:r>
      <w:r>
        <w:rPr>
          <w:rFonts w:hint="eastAsia" w:ascii="宋体" w:hAnsi="宋体"/>
        </w:rPr>
        <w:t>…65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20. 争议解决</w:t>
      </w:r>
      <w:r>
        <w:rPr>
          <w:rFonts w:hint="eastAsia" w:ascii="宋体" w:hAnsi="宋体"/>
        </w:rPr>
        <w:t>……………………………………………………………</w:t>
      </w:r>
      <w:r>
        <w:rPr>
          <w:rFonts w:ascii="宋体" w:hAnsi="宋体"/>
        </w:rPr>
        <w:t>………………</w:t>
      </w:r>
      <w:r>
        <w:rPr>
          <w:rFonts w:hint="eastAsia" w:ascii="宋体" w:hAnsi="宋体"/>
        </w:rPr>
        <w:t>…66</w:t>
      </w:r>
    </w:p>
    <w:p>
      <w:pPr>
        <w:pStyle w:val="424"/>
        <w:ind w:left="0"/>
        <w:rPr>
          <w:rFonts w:ascii="宋体" w:hAnsi="宋体"/>
        </w:rPr>
      </w:pPr>
      <w:r>
        <w:rPr>
          <w:rFonts w:ascii="黑体" w:hAnsi="宋体" w:eastAsia="黑体"/>
          <w:kern w:val="2"/>
          <w:sz w:val="24"/>
          <w:szCs w:val="24"/>
        </w:rPr>
        <w:t>第四部分</w:t>
      </w:r>
      <w:r>
        <w:rPr>
          <w:rFonts w:hint="eastAsia" w:ascii="黑体" w:hAnsi="宋体" w:eastAsia="黑体"/>
          <w:kern w:val="2"/>
          <w:sz w:val="24"/>
          <w:szCs w:val="24"/>
        </w:rPr>
        <w:t xml:space="preserve"> 合同附件格式</w:t>
      </w:r>
      <w:r>
        <w:rPr>
          <w:rFonts w:hint="eastAsia" w:ascii="宋体" w:hAnsi="宋体"/>
        </w:rPr>
        <w:t>………………………………………</w:t>
      </w:r>
      <w:r>
        <w:rPr>
          <w:rFonts w:ascii="宋体" w:hAnsi="宋体"/>
        </w:rPr>
        <w:t>…………………………</w:t>
      </w:r>
      <w:r>
        <w:rPr>
          <w:rFonts w:hint="eastAsia" w:ascii="宋体" w:hAnsi="宋体"/>
        </w:rPr>
        <w:t>…67</w:t>
      </w:r>
    </w:p>
    <w:p>
      <w:pPr>
        <w:tabs>
          <w:tab w:val="right" w:leader="middleDot" w:pos="8190"/>
        </w:tabs>
        <w:spacing w:line="320" w:lineRule="exact"/>
        <w:rPr>
          <w:rFonts w:ascii="宋体" w:hAnsi="宋体"/>
          <w:szCs w:val="21"/>
        </w:rPr>
      </w:pPr>
      <w:r>
        <w:rPr>
          <w:rFonts w:hint="eastAsia" w:ascii="黑体" w:hAnsi="宋体" w:eastAsia="黑体"/>
          <w:sz w:val="24"/>
        </w:rPr>
        <w:t>第五章 图纸</w:t>
      </w:r>
      <w:r>
        <w:rPr>
          <w:rFonts w:hint="eastAsia" w:ascii="宋体" w:hAnsi="宋体"/>
          <w:szCs w:val="21"/>
        </w:rPr>
        <w:t>……………………………………………………………</w:t>
      </w:r>
      <w:r>
        <w:rPr>
          <w:rFonts w:ascii="宋体" w:hAnsi="宋体"/>
          <w:szCs w:val="21"/>
        </w:rPr>
        <w:t>……………</w:t>
      </w:r>
      <w:r>
        <w:rPr>
          <w:rFonts w:hint="eastAsia" w:ascii="宋体" w:hAnsi="宋体"/>
          <w:szCs w:val="21"/>
        </w:rPr>
        <w:t>………74</w:t>
      </w:r>
    </w:p>
    <w:p>
      <w:pPr>
        <w:tabs>
          <w:tab w:val="right" w:leader="middleDot" w:pos="8190"/>
        </w:tabs>
        <w:spacing w:line="320" w:lineRule="exact"/>
        <w:rPr>
          <w:rFonts w:ascii="黑体" w:hAnsi="宋体" w:eastAsia="黑体"/>
          <w:sz w:val="24"/>
        </w:rPr>
      </w:pPr>
      <w:r>
        <w:rPr>
          <w:rFonts w:hint="eastAsia" w:ascii="黑体" w:hAnsi="宋体" w:eastAsia="黑体"/>
          <w:sz w:val="24"/>
        </w:rPr>
        <w:t xml:space="preserve">第六章 技术标准和要求 </w:t>
      </w:r>
      <w:r>
        <w:rPr>
          <w:rFonts w:hint="eastAsia" w:ascii="宋体" w:hAnsi="宋体"/>
          <w:szCs w:val="21"/>
        </w:rPr>
        <w:t>……………………………………………………………… 75</w:t>
      </w:r>
    </w:p>
    <w:p>
      <w:pPr>
        <w:spacing w:line="320" w:lineRule="exact"/>
      </w:pPr>
    </w:p>
    <w:p>
      <w:pPr>
        <w:spacing w:line="320" w:lineRule="exact"/>
        <w:jc w:val="center"/>
        <w:rPr>
          <w:rFonts w:ascii="宋体" w:hAnsi="宋体"/>
          <w:szCs w:val="21"/>
        </w:rPr>
      </w:pPr>
    </w:p>
    <w:p>
      <w:pPr>
        <w:spacing w:line="400" w:lineRule="exact"/>
        <w:jc w:val="center"/>
        <w:rPr>
          <w:rFonts w:ascii="黑体" w:hAnsi="黑体" w:eastAsia="黑体"/>
          <w:b/>
          <w:bCs/>
          <w:sz w:val="32"/>
        </w:rPr>
      </w:pPr>
      <w:r>
        <w:br w:type="page"/>
      </w:r>
      <w:bookmarkStart w:id="3" w:name="_Toc357586305"/>
      <w:bookmarkStart w:id="4" w:name="_Toc144974479"/>
      <w:bookmarkStart w:id="5" w:name="_Toc152045511"/>
      <w:bookmarkStart w:id="6" w:name="_Toc152042287"/>
      <w:r>
        <w:rPr>
          <w:rFonts w:hint="eastAsia" w:ascii="黑体" w:hAnsi="黑体" w:eastAsia="黑体"/>
          <w:b/>
          <w:bCs/>
          <w:sz w:val="32"/>
        </w:rPr>
        <w:t>投标文件否决性条款摘要</w:t>
      </w:r>
      <w:bookmarkEnd w:id="3"/>
    </w:p>
    <w:p>
      <w:pPr>
        <w:spacing w:line="400" w:lineRule="exact"/>
        <w:ind w:right="-197" w:firstLine="480" w:firstLineChars="200"/>
        <w:rPr>
          <w:rFonts w:ascii="宋体" w:hAnsi="宋体"/>
          <w:b/>
          <w:sz w:val="24"/>
        </w:rPr>
      </w:pPr>
    </w:p>
    <w:p>
      <w:pPr>
        <w:spacing w:line="400" w:lineRule="exact"/>
        <w:ind w:right="-197" w:firstLine="480" w:firstLineChars="200"/>
        <w:rPr>
          <w:rFonts w:ascii="宋体" w:hAnsi="宋体"/>
          <w:b/>
          <w:sz w:val="24"/>
        </w:rPr>
      </w:pPr>
      <w:r>
        <w:rPr>
          <w:rFonts w:hint="eastAsia" w:ascii="宋体" w:hAnsi="宋体"/>
          <w:b/>
          <w:sz w:val="24"/>
        </w:rPr>
        <w:t>重要提示：</w:t>
      </w:r>
      <w:r>
        <w:rPr>
          <w:rFonts w:hint="eastAsia" w:ascii="宋体" w:hAnsi="宋体"/>
          <w:sz w:val="24"/>
        </w:rPr>
        <w:t>本摘要是本招标文件(含招标文件的澄清、修改、补充文件等)中涉及的所有否决性条款的集中列示，包括：招标文件规定的在开标会上当场宣布投标文件不予受理或为无效投标的情形，初步评审、详细评审阶段发现重大偏差的情形。</w:t>
      </w:r>
      <w:r>
        <w:rPr>
          <w:rFonts w:hint="eastAsia" w:ascii="宋体" w:hAnsi="宋体"/>
          <w:b/>
          <w:sz w:val="24"/>
        </w:rPr>
        <w:t>除出现本摘要集中列示的否决性条款规定的情形以外，投标文件出现的其他任何情形均不得作否决处理。招标文件中有关否决性条款的阐述与本摘要所列内容不一致的，以本摘要列示的内容为准</w:t>
      </w:r>
      <w:r>
        <w:rPr>
          <w:rFonts w:hint="eastAsia" w:ascii="宋体" w:hAnsi="宋体"/>
          <w:sz w:val="24"/>
        </w:rPr>
        <w:t>。</w:t>
      </w:r>
    </w:p>
    <w:p>
      <w:pPr>
        <w:spacing w:line="400" w:lineRule="exact"/>
        <w:ind w:right="-197" w:firstLine="480" w:firstLineChars="200"/>
        <w:rPr>
          <w:rFonts w:ascii="宋体" w:hAnsi="宋体"/>
          <w:sz w:val="24"/>
        </w:rPr>
      </w:pPr>
      <w:r>
        <w:rPr>
          <w:rFonts w:hint="eastAsia" w:ascii="宋体" w:hAnsi="宋体"/>
          <w:sz w:val="24"/>
        </w:rPr>
        <w:t>如招标人通过招标文件的澄清、修改、补充文件予以增加否决性条款的，招标人应当重新编写本摘要内容，将新增否决性条款列入本摘要，并发布新的完整的《投标文件否决性条款摘要》。否则，增加的否决性条款无效。</w:t>
      </w:r>
    </w:p>
    <w:p>
      <w:pPr>
        <w:spacing w:line="400" w:lineRule="exact"/>
        <w:ind w:right="-197" w:firstLine="480" w:firstLineChars="200"/>
        <w:rPr>
          <w:rFonts w:ascii="宋体" w:hAnsi="宋体"/>
          <w:sz w:val="24"/>
        </w:rPr>
      </w:pPr>
      <w:r>
        <w:rPr>
          <w:rFonts w:hint="eastAsia" w:ascii="宋体" w:hAnsi="宋体"/>
          <w:sz w:val="24"/>
        </w:rPr>
        <w:t>招标人应派代表参加开标、评标会（不得超过2人），并负责在开标会上判定投标文件不予受理或为无效投标的情形。</w:t>
      </w:r>
    </w:p>
    <w:p>
      <w:pPr>
        <w:spacing w:line="400" w:lineRule="exact"/>
        <w:ind w:right="-197" w:firstLine="480" w:firstLineChars="200"/>
        <w:rPr>
          <w:rFonts w:ascii="宋体" w:hAnsi="宋体"/>
          <w:sz w:val="24"/>
        </w:rPr>
      </w:pPr>
      <w:r>
        <w:rPr>
          <w:rFonts w:hint="eastAsia" w:ascii="宋体" w:hAnsi="宋体"/>
          <w:sz w:val="24"/>
        </w:rPr>
        <w:t>评标委员会应将在初步评审阶段和详细评审阶段发现的投标文件中的重大偏差情况列入评标报告中的“否决投标情况说明”，对该投标文件作否决处理；对于发现的其他偏差情况应列入细微偏差，向招标人提出相关意见和建议，但不得对该投标作否决处理。</w:t>
      </w:r>
    </w:p>
    <w:p>
      <w:pPr>
        <w:spacing w:line="400" w:lineRule="exact"/>
        <w:ind w:right="-197" w:firstLine="480" w:firstLineChars="200"/>
        <w:rPr>
          <w:rFonts w:ascii="宋体" w:hAnsi="宋体"/>
          <w:b/>
          <w:sz w:val="24"/>
        </w:rPr>
      </w:pPr>
      <w:r>
        <w:rPr>
          <w:rFonts w:hint="eastAsia" w:ascii="宋体" w:hAnsi="宋体"/>
          <w:b/>
          <w:sz w:val="24"/>
        </w:rPr>
        <w:t xml:space="preserve">一、在开标会上，判定投标文件不予受理或为无效投标的情形（由招标人负责判定）： </w:t>
      </w:r>
    </w:p>
    <w:p>
      <w:pPr>
        <w:spacing w:line="400" w:lineRule="exact"/>
        <w:ind w:right="-197" w:firstLine="480" w:firstLineChars="200"/>
        <w:rPr>
          <w:rFonts w:ascii="宋体" w:hAnsi="宋体"/>
          <w:sz w:val="24"/>
        </w:rPr>
      </w:pPr>
      <w:r>
        <w:rPr>
          <w:rFonts w:hint="eastAsia" w:ascii="宋体" w:hAnsi="宋体"/>
          <w:sz w:val="24"/>
        </w:rPr>
        <w:t>（一）判定投标文件不予受理的情形：</w:t>
      </w:r>
    </w:p>
    <w:p>
      <w:pPr>
        <w:tabs>
          <w:tab w:val="left" w:pos="1080"/>
        </w:tabs>
        <w:spacing w:line="400" w:lineRule="exact"/>
        <w:ind w:right="-197" w:firstLine="480" w:firstLineChars="200"/>
        <w:rPr>
          <w:rFonts w:ascii="宋体" w:hAnsi="宋体"/>
          <w:sz w:val="24"/>
        </w:rPr>
      </w:pPr>
      <w:r>
        <w:rPr>
          <w:rFonts w:hint="eastAsia" w:ascii="宋体" w:hAnsi="宋体"/>
          <w:sz w:val="24"/>
        </w:rPr>
        <w:t>1、无投标邀请函原件（适用于邀请招标）；</w:t>
      </w:r>
    </w:p>
    <w:p>
      <w:pPr>
        <w:tabs>
          <w:tab w:val="left" w:pos="1080"/>
        </w:tabs>
        <w:spacing w:line="400" w:lineRule="exact"/>
        <w:ind w:right="-197" w:firstLine="480" w:firstLineChars="200"/>
        <w:rPr>
          <w:rFonts w:ascii="宋体" w:hAnsi="宋体"/>
          <w:sz w:val="24"/>
        </w:rPr>
      </w:pPr>
      <w:r>
        <w:rPr>
          <w:rFonts w:hint="eastAsia" w:ascii="宋体" w:hAnsi="宋体"/>
          <w:sz w:val="24"/>
        </w:rPr>
        <w:t>2、未按规定办理投标报名手续或未向招标代理机构购买招标文件的；</w:t>
      </w:r>
    </w:p>
    <w:p>
      <w:pPr>
        <w:tabs>
          <w:tab w:val="left" w:pos="1080"/>
        </w:tabs>
        <w:spacing w:line="400" w:lineRule="exact"/>
        <w:ind w:right="-197" w:firstLine="480" w:firstLineChars="200"/>
        <w:rPr>
          <w:rFonts w:ascii="宋体" w:hAnsi="宋体"/>
          <w:sz w:val="24"/>
        </w:rPr>
      </w:pPr>
      <w:r>
        <w:rPr>
          <w:rFonts w:hint="eastAsia" w:ascii="宋体" w:hAnsi="宋体"/>
          <w:sz w:val="24"/>
        </w:rPr>
        <w:t>3、投标文件在投标截止时间以后</w:t>
      </w:r>
      <w:r>
        <w:rPr>
          <w:rFonts w:ascii="宋体" w:hAnsi="宋体"/>
          <w:sz w:val="24"/>
        </w:rPr>
        <w:t>送达或者未送达指定地点</w:t>
      </w:r>
      <w:r>
        <w:rPr>
          <w:rFonts w:hint="eastAsia" w:ascii="宋体" w:hAnsi="宋体"/>
          <w:sz w:val="24"/>
        </w:rPr>
        <w:t>；</w:t>
      </w:r>
    </w:p>
    <w:p>
      <w:pPr>
        <w:tabs>
          <w:tab w:val="left" w:pos="1080"/>
        </w:tabs>
        <w:spacing w:line="400" w:lineRule="exact"/>
        <w:ind w:right="-197" w:firstLine="480" w:firstLineChars="200"/>
        <w:rPr>
          <w:rFonts w:ascii="宋体" w:hAnsi="宋体"/>
          <w:sz w:val="24"/>
        </w:rPr>
      </w:pPr>
      <w:r>
        <w:rPr>
          <w:rFonts w:hint="eastAsia" w:ascii="宋体" w:hAnsi="宋体"/>
          <w:sz w:val="24"/>
        </w:rPr>
        <w:t>4、投标文件外封套上载明的投标人名称与报名时登记的投标人名称不一致</w:t>
      </w:r>
      <w:r>
        <w:rPr>
          <w:rFonts w:hint="eastAsia" w:ascii="宋体" w:hAnsi="宋体" w:cs="宋体"/>
          <w:sz w:val="24"/>
        </w:rPr>
        <w:t>（已在工商行政管理部门及建设行政主管部门办理了工商更名登记手续及相关证书更名手续，且在开标的1个工作日之前已向招标代理机构和集中交易机构报备的除外）</w:t>
      </w:r>
      <w:r>
        <w:rPr>
          <w:rFonts w:hint="eastAsia" w:ascii="宋体" w:hAnsi="宋体"/>
          <w:sz w:val="24"/>
        </w:rPr>
        <w:t>；</w:t>
      </w:r>
    </w:p>
    <w:p>
      <w:pPr>
        <w:tabs>
          <w:tab w:val="left" w:pos="1080"/>
        </w:tabs>
        <w:spacing w:line="400" w:lineRule="exact"/>
        <w:ind w:right="-197" w:firstLine="480" w:firstLineChars="200"/>
        <w:rPr>
          <w:rFonts w:ascii="宋体" w:hAnsi="宋体"/>
          <w:sz w:val="24"/>
        </w:rPr>
      </w:pPr>
      <w:r>
        <w:rPr>
          <w:rFonts w:hint="eastAsia" w:ascii="宋体" w:hAnsi="宋体"/>
          <w:sz w:val="24"/>
        </w:rPr>
        <w:t>5、投标人授权代理人以及招标文件有要求必须到场出席开标会的特定人员，未按招标文件要求到场或未能按招标文件要求提供身份证明文件的；</w:t>
      </w:r>
    </w:p>
    <w:p>
      <w:pPr>
        <w:tabs>
          <w:tab w:val="left" w:pos="1080"/>
        </w:tabs>
        <w:spacing w:line="400" w:lineRule="exact"/>
        <w:ind w:right="-197" w:firstLine="480" w:firstLineChars="200"/>
        <w:rPr>
          <w:rFonts w:ascii="宋体" w:hAnsi="宋体"/>
          <w:sz w:val="24"/>
        </w:rPr>
      </w:pPr>
      <w:r>
        <w:rPr>
          <w:rFonts w:hint="eastAsia" w:ascii="宋体" w:hAnsi="宋体"/>
          <w:sz w:val="24"/>
        </w:rPr>
        <w:t>6、投标人未按要求出示投标保证金提交凭证或投标保证金未按规定要求提交；</w:t>
      </w:r>
    </w:p>
    <w:p>
      <w:pPr>
        <w:tabs>
          <w:tab w:val="left" w:pos="1080"/>
        </w:tabs>
        <w:spacing w:line="400" w:lineRule="exact"/>
        <w:ind w:right="-197" w:firstLine="480" w:firstLineChars="200"/>
        <w:rPr>
          <w:rFonts w:ascii="宋体" w:hAnsi="宋体"/>
          <w:sz w:val="24"/>
        </w:rPr>
      </w:pPr>
      <w:r>
        <w:rPr>
          <w:rFonts w:hint="eastAsia" w:ascii="宋体" w:hAnsi="宋体"/>
          <w:sz w:val="24"/>
        </w:rPr>
        <w:t>7、投标文件未按要求密封、标记，或因错放或密封不牢靠而造成的提前开封的，具体要求见本招标文件相应条款。</w:t>
      </w:r>
    </w:p>
    <w:p>
      <w:pPr>
        <w:spacing w:line="400" w:lineRule="exact"/>
        <w:ind w:right="-197" w:firstLine="470" w:firstLineChars="196"/>
        <w:rPr>
          <w:rFonts w:ascii="宋体" w:hAnsi="宋体"/>
          <w:b/>
          <w:sz w:val="24"/>
          <w:u w:val="single"/>
        </w:rPr>
      </w:pPr>
      <w:r>
        <w:rPr>
          <w:rFonts w:hint="eastAsia" w:ascii="宋体" w:hAnsi="宋体"/>
          <w:b/>
          <w:sz w:val="24"/>
        </w:rPr>
        <w:t>注：投标文件出现上述情形被判定不予受理的，招标人将原封退回该投标文件。</w:t>
      </w:r>
    </w:p>
    <w:p>
      <w:pPr>
        <w:spacing w:line="400" w:lineRule="exact"/>
        <w:ind w:right="-197" w:firstLine="480" w:firstLineChars="200"/>
        <w:rPr>
          <w:rFonts w:ascii="宋体" w:hAnsi="宋体"/>
          <w:sz w:val="24"/>
        </w:rPr>
      </w:pPr>
      <w:r>
        <w:rPr>
          <w:rFonts w:hint="eastAsia" w:ascii="宋体" w:hAnsi="宋体"/>
          <w:sz w:val="24"/>
        </w:rPr>
        <w:t>（二）宣布投标文件为无效投标的情形：</w:t>
      </w:r>
    </w:p>
    <w:p>
      <w:pPr>
        <w:spacing w:line="400" w:lineRule="exact"/>
        <w:rPr>
          <w:rFonts w:ascii="宋体" w:hAnsi="宋体"/>
          <w:sz w:val="24"/>
        </w:rPr>
      </w:pPr>
      <w:r>
        <w:rPr>
          <w:rFonts w:hint="eastAsia" w:ascii="宋体" w:hAnsi="宋体"/>
          <w:sz w:val="24"/>
        </w:rPr>
        <w:t xml:space="preserve">    1、投标文件中</w:t>
      </w:r>
      <w:r>
        <w:rPr>
          <w:rFonts w:hint="eastAsia" w:ascii="宋体" w:hAnsi="宋体" w:cs="宋体"/>
          <w:sz w:val="24"/>
        </w:rPr>
        <w:t>投标人名称与报名登记的名称不符的（已在工商行政管理部门及建设行政主管部门办理了工商更名登记手续及相关证书更名手续，且在开标的1个工作日之前已向招标代理机构和集中交易机构报备的除外）；</w:t>
      </w:r>
    </w:p>
    <w:p>
      <w:pPr>
        <w:tabs>
          <w:tab w:val="left" w:pos="1080"/>
        </w:tabs>
        <w:spacing w:line="400" w:lineRule="exact"/>
        <w:ind w:right="-197" w:firstLine="480" w:firstLineChars="200"/>
        <w:rPr>
          <w:rFonts w:ascii="宋体" w:hAnsi="宋体"/>
          <w:sz w:val="24"/>
        </w:rPr>
      </w:pPr>
      <w:r>
        <w:rPr>
          <w:rFonts w:hint="eastAsia" w:ascii="宋体" w:hAnsi="宋体"/>
          <w:sz w:val="24"/>
        </w:rPr>
        <w:t>2、投标文件的装订不符合要求，具体要求见本招标文件相应条款；</w:t>
      </w:r>
    </w:p>
    <w:p>
      <w:pPr>
        <w:tabs>
          <w:tab w:val="left" w:pos="1080"/>
        </w:tabs>
        <w:spacing w:line="400" w:lineRule="exact"/>
        <w:ind w:right="-197" w:firstLine="480" w:firstLineChars="200"/>
        <w:rPr>
          <w:rFonts w:ascii="宋体" w:hAnsi="宋体"/>
          <w:sz w:val="24"/>
        </w:rPr>
      </w:pPr>
      <w:r>
        <w:rPr>
          <w:rFonts w:hint="eastAsia" w:ascii="宋体" w:hAnsi="宋体"/>
          <w:sz w:val="24"/>
        </w:rPr>
        <w:t>3、投标文件的份数不满足要求，具体要求见本招标文件相应条款；</w:t>
      </w:r>
    </w:p>
    <w:p>
      <w:pPr>
        <w:tabs>
          <w:tab w:val="left" w:pos="1080"/>
        </w:tabs>
        <w:spacing w:line="400" w:lineRule="exact"/>
        <w:ind w:right="-197" w:firstLine="480" w:firstLineChars="200"/>
        <w:rPr>
          <w:rFonts w:ascii="宋体" w:hAnsi="宋体"/>
          <w:sz w:val="24"/>
        </w:rPr>
      </w:pPr>
      <w:r>
        <w:rPr>
          <w:rFonts w:hint="eastAsia" w:ascii="宋体" w:hAnsi="宋体"/>
          <w:sz w:val="24"/>
        </w:rPr>
        <w:t>4、未在投标函上填写投标报价或</w:t>
      </w:r>
      <w:r>
        <w:rPr>
          <w:rFonts w:ascii="宋体" w:hAnsi="宋体"/>
          <w:sz w:val="24"/>
        </w:rPr>
        <w:t>投标文件</w:t>
      </w:r>
      <w:r>
        <w:rPr>
          <w:rFonts w:hint="eastAsia" w:ascii="宋体" w:hAnsi="宋体"/>
          <w:sz w:val="24"/>
        </w:rPr>
        <w:t>中投标函以汉字形式（大写金额）记载的投标报价高于投标报价上限。</w:t>
      </w:r>
    </w:p>
    <w:p>
      <w:pPr>
        <w:spacing w:line="400" w:lineRule="exact"/>
        <w:ind w:right="-197" w:firstLine="480" w:firstLineChars="200"/>
        <w:rPr>
          <w:rFonts w:ascii="宋体" w:hAnsi="宋体"/>
          <w:b/>
          <w:sz w:val="24"/>
          <w:u w:val="single"/>
        </w:rPr>
      </w:pPr>
      <w:r>
        <w:rPr>
          <w:rFonts w:hint="eastAsia" w:ascii="宋体" w:hAnsi="宋体"/>
          <w:b/>
          <w:sz w:val="24"/>
        </w:rPr>
        <w:t>注：投标文件出现上述情形在开标会上被宣布为无效投标后，不再经评标委员会确认，亦不进入评标程序，该投标文件不予退回。</w:t>
      </w:r>
    </w:p>
    <w:p>
      <w:pPr>
        <w:spacing w:line="400" w:lineRule="exact"/>
        <w:ind w:right="-197" w:firstLine="480" w:firstLineChars="200"/>
        <w:rPr>
          <w:rFonts w:ascii="宋体" w:hAnsi="宋体"/>
          <w:b/>
          <w:sz w:val="24"/>
        </w:rPr>
      </w:pPr>
      <w:r>
        <w:rPr>
          <w:rFonts w:hint="eastAsia" w:ascii="宋体" w:hAnsi="宋体"/>
          <w:b/>
          <w:sz w:val="24"/>
        </w:rPr>
        <w:t xml:space="preserve">二、初步评审阶段和详细评审阶段有下列情形之一的，评标委员会应当否决其投标： </w:t>
      </w:r>
    </w:p>
    <w:p>
      <w:pPr>
        <w:tabs>
          <w:tab w:val="left" w:pos="1080"/>
        </w:tabs>
        <w:spacing w:line="400" w:lineRule="exact"/>
        <w:ind w:right="-197" w:firstLine="480" w:firstLineChars="200"/>
        <w:rPr>
          <w:rFonts w:ascii="宋体" w:hAnsi="宋体"/>
          <w:sz w:val="24"/>
        </w:rPr>
      </w:pPr>
      <w:r>
        <w:rPr>
          <w:rFonts w:hint="eastAsia" w:ascii="宋体" w:hAnsi="宋体"/>
          <w:sz w:val="24"/>
        </w:rPr>
        <w:t>1、投标人不符合国家或者招标文件规定的资格条件；</w:t>
      </w:r>
    </w:p>
    <w:p>
      <w:pPr>
        <w:tabs>
          <w:tab w:val="left" w:pos="1080"/>
        </w:tabs>
        <w:spacing w:line="400" w:lineRule="exact"/>
        <w:ind w:right="-197" w:firstLine="480" w:firstLineChars="200"/>
        <w:rPr>
          <w:rFonts w:ascii="宋体" w:hAnsi="宋体"/>
          <w:sz w:val="24"/>
        </w:rPr>
      </w:pPr>
      <w:r>
        <w:rPr>
          <w:rFonts w:hint="eastAsia" w:ascii="宋体" w:hAnsi="宋体"/>
          <w:sz w:val="24"/>
        </w:rPr>
        <w:t>2、投标文件不符合评标办法前附表的要求；</w:t>
      </w:r>
    </w:p>
    <w:p>
      <w:pPr>
        <w:tabs>
          <w:tab w:val="left" w:pos="1080"/>
        </w:tabs>
        <w:spacing w:line="400" w:lineRule="exact"/>
        <w:ind w:right="-197" w:firstLine="480" w:firstLineChars="200"/>
        <w:rPr>
          <w:rFonts w:ascii="宋体" w:hAnsi="宋体"/>
          <w:sz w:val="24"/>
        </w:rPr>
      </w:pPr>
      <w:r>
        <w:rPr>
          <w:rFonts w:hint="eastAsia" w:ascii="宋体" w:hAnsi="宋体"/>
          <w:sz w:val="24"/>
        </w:rPr>
        <w:t>3、评标委员会要求澄清、说明、补正，投标人拒不进行澄清、说明、补正的；或评标委员会根据评标办法对投标文件的计算错误进行修正后，投标人不接受修正后的投标报价；</w:t>
      </w:r>
    </w:p>
    <w:p>
      <w:pPr>
        <w:tabs>
          <w:tab w:val="left" w:pos="1080"/>
        </w:tabs>
        <w:spacing w:line="400" w:lineRule="exact"/>
        <w:ind w:right="-197" w:firstLine="480" w:firstLineChars="200"/>
        <w:rPr>
          <w:rFonts w:ascii="宋体" w:hAnsi="宋体"/>
          <w:sz w:val="24"/>
        </w:rPr>
      </w:pPr>
      <w:r>
        <w:rPr>
          <w:rFonts w:hint="eastAsia" w:ascii="宋体" w:hAnsi="宋体"/>
          <w:sz w:val="24"/>
        </w:rPr>
        <w:t>4、投标报价更改了不可竞争费用或低于投标人的成本；</w:t>
      </w:r>
    </w:p>
    <w:p>
      <w:pPr>
        <w:tabs>
          <w:tab w:val="left" w:pos="1080"/>
        </w:tabs>
        <w:spacing w:line="400" w:lineRule="exact"/>
        <w:ind w:right="-197" w:firstLine="480" w:firstLineChars="200"/>
        <w:rPr>
          <w:rFonts w:ascii="宋体" w:hAnsi="宋体"/>
          <w:sz w:val="24"/>
        </w:rPr>
      </w:pPr>
      <w:r>
        <w:rPr>
          <w:rFonts w:hint="eastAsia" w:ascii="宋体" w:hAnsi="宋体"/>
          <w:sz w:val="24"/>
        </w:rPr>
        <w:t>5、投标文件附有明显有失公允，招标人不能接受的条件；</w:t>
      </w:r>
    </w:p>
    <w:p>
      <w:pPr>
        <w:tabs>
          <w:tab w:val="left" w:pos="1080"/>
        </w:tabs>
        <w:spacing w:line="400" w:lineRule="exact"/>
        <w:ind w:right="-197" w:firstLine="480" w:firstLineChars="200"/>
        <w:rPr>
          <w:rFonts w:ascii="宋体" w:hAnsi="宋体"/>
          <w:b/>
          <w:sz w:val="24"/>
        </w:rPr>
      </w:pPr>
      <w:r>
        <w:rPr>
          <w:rFonts w:hint="eastAsia" w:ascii="宋体" w:hAnsi="宋体"/>
          <w:sz w:val="24"/>
        </w:rPr>
        <w:t>6、投标人有以他人的名义投标、串通投标、弄虚作假、行贿等违法行为；</w:t>
      </w:r>
    </w:p>
    <w:p>
      <w:pPr>
        <w:pStyle w:val="72"/>
        <w:tabs>
          <w:tab w:val="left" w:pos="1080"/>
        </w:tabs>
        <w:spacing w:before="0" w:beforeAutospacing="0" w:after="0" w:afterAutospacing="0" w:line="400" w:lineRule="exact"/>
        <w:ind w:right="-197" w:firstLine="480" w:firstLineChars="200"/>
        <w:rPr>
          <w:color w:val="auto"/>
          <w:sz w:val="24"/>
          <w:szCs w:val="24"/>
        </w:rPr>
      </w:pPr>
      <w:r>
        <w:rPr>
          <w:rFonts w:hint="eastAsia"/>
          <w:color w:val="auto"/>
          <w:sz w:val="24"/>
          <w:szCs w:val="24"/>
        </w:rPr>
        <w:t>7、技术标（如有）经评标委员会评审为不合格的；</w:t>
      </w:r>
    </w:p>
    <w:p>
      <w:pPr>
        <w:pStyle w:val="72"/>
        <w:tabs>
          <w:tab w:val="left" w:pos="1080"/>
        </w:tabs>
        <w:spacing w:before="0" w:beforeAutospacing="0" w:after="0" w:afterAutospacing="0" w:line="400" w:lineRule="exact"/>
        <w:ind w:right="-197" w:firstLine="480" w:firstLineChars="200"/>
        <w:jc w:val="both"/>
        <w:rPr>
          <w:color w:val="auto"/>
          <w:sz w:val="24"/>
          <w:szCs w:val="24"/>
        </w:rPr>
      </w:pPr>
      <w:r>
        <w:rPr>
          <w:rFonts w:hint="eastAsia"/>
          <w:color w:val="auto"/>
          <w:sz w:val="24"/>
          <w:szCs w:val="24"/>
        </w:rPr>
        <w:t>8、法律、法规、规章规定的其他情形。</w:t>
      </w:r>
    </w:p>
    <w:p>
      <w:pPr>
        <w:spacing w:line="400" w:lineRule="exact"/>
        <w:ind w:right="-197" w:firstLine="470" w:firstLineChars="196"/>
        <w:rPr>
          <w:rFonts w:ascii="宋体" w:hAnsi="宋体"/>
          <w:b/>
          <w:sz w:val="24"/>
        </w:rPr>
      </w:pPr>
    </w:p>
    <w:p>
      <w:pPr>
        <w:spacing w:line="400" w:lineRule="exact"/>
        <w:ind w:right="-197" w:firstLine="470" w:firstLineChars="196"/>
        <w:rPr>
          <w:rFonts w:ascii="宋体" w:hAnsi="宋体"/>
          <w:b/>
          <w:sz w:val="24"/>
        </w:rPr>
      </w:pPr>
      <w:r>
        <w:rPr>
          <w:rFonts w:hint="eastAsia" w:ascii="宋体" w:hAnsi="宋体"/>
          <w:b/>
          <w:sz w:val="24"/>
        </w:rPr>
        <w:t>注：以他人的名义投标、串通投标、弄虚作假的行为认定</w:t>
      </w:r>
    </w:p>
    <w:p>
      <w:pPr>
        <w:spacing w:line="400" w:lineRule="exact"/>
        <w:ind w:right="-198" w:firstLine="480" w:firstLineChars="200"/>
        <w:rPr>
          <w:rFonts w:ascii="宋体" w:hAnsi="宋体"/>
          <w:sz w:val="24"/>
        </w:rPr>
      </w:pPr>
      <w:r>
        <w:rPr>
          <w:rFonts w:hint="eastAsia" w:ascii="宋体" w:hAnsi="宋体"/>
          <w:sz w:val="24"/>
        </w:rPr>
        <w:t>（1）使用通过受让或者租借等方式获取的资格、资质证书投标的，属于以他人名义投标。</w:t>
      </w:r>
    </w:p>
    <w:p>
      <w:pPr>
        <w:spacing w:line="400" w:lineRule="exact"/>
        <w:ind w:left="478" w:leftChars="228" w:right="-198"/>
        <w:rPr>
          <w:rFonts w:ascii="宋体" w:hAnsi="宋体"/>
          <w:sz w:val="24"/>
        </w:rPr>
      </w:pPr>
      <w:r>
        <w:rPr>
          <w:rFonts w:hint="eastAsia" w:ascii="宋体" w:hAnsi="宋体"/>
          <w:sz w:val="24"/>
        </w:rPr>
        <w:t>（2）有下列情形之一的，属于投标人相互串通投标：</w:t>
      </w:r>
    </w:p>
    <w:p>
      <w:pPr>
        <w:spacing w:line="400" w:lineRule="exact"/>
        <w:ind w:left="1077" w:leftChars="513" w:right="-198"/>
        <w:rPr>
          <w:rFonts w:ascii="宋体" w:hAnsi="宋体"/>
          <w:sz w:val="24"/>
        </w:rPr>
      </w:pPr>
      <w:r>
        <w:rPr>
          <w:rFonts w:hint="eastAsia" w:ascii="宋体" w:hAnsi="宋体"/>
          <w:sz w:val="24"/>
        </w:rPr>
        <w:t>①投标人之间协商投标报价等投标文件的实质性内容；</w:t>
      </w:r>
      <w:r>
        <w:rPr>
          <w:rFonts w:hint="eastAsia" w:ascii="宋体" w:hAnsi="宋体"/>
          <w:sz w:val="24"/>
        </w:rPr>
        <w:br w:type="textWrapping"/>
      </w:r>
      <w:r>
        <w:rPr>
          <w:rFonts w:hint="eastAsia" w:ascii="宋体" w:hAnsi="宋体"/>
          <w:sz w:val="24"/>
        </w:rPr>
        <w:t>②投标人之间约定中标人；</w:t>
      </w:r>
      <w:r>
        <w:rPr>
          <w:rFonts w:hint="eastAsia" w:ascii="宋体" w:hAnsi="宋体"/>
          <w:sz w:val="24"/>
        </w:rPr>
        <w:br w:type="textWrapping"/>
      </w:r>
      <w:r>
        <w:rPr>
          <w:rFonts w:hint="eastAsia" w:ascii="宋体" w:hAnsi="宋体"/>
          <w:sz w:val="24"/>
        </w:rPr>
        <w:t>③投标人之间约定部分投标人放弃投标或者中标；</w:t>
      </w:r>
      <w:r>
        <w:rPr>
          <w:rFonts w:hint="eastAsia" w:ascii="宋体" w:hAnsi="宋体"/>
          <w:sz w:val="24"/>
        </w:rPr>
        <w:br w:type="textWrapping"/>
      </w:r>
      <w:r>
        <w:rPr>
          <w:rFonts w:hint="eastAsia" w:ascii="宋体" w:hAnsi="宋体"/>
          <w:sz w:val="24"/>
        </w:rPr>
        <w:t>④属于同一集团、协会、商会等组织成员的投标人按照该组织要求协同投标；</w:t>
      </w:r>
      <w:r>
        <w:rPr>
          <w:rFonts w:hint="eastAsia" w:ascii="宋体" w:hAnsi="宋体"/>
          <w:sz w:val="24"/>
        </w:rPr>
        <w:br w:type="textWrapping"/>
      </w:r>
      <w:r>
        <w:rPr>
          <w:rFonts w:hint="eastAsia" w:ascii="宋体" w:hAnsi="宋体"/>
          <w:sz w:val="24"/>
        </w:rPr>
        <w:t>⑤投标人之间为谋取中标或者排斥特定投标人而采取的其他联合行动。</w:t>
      </w:r>
    </w:p>
    <w:p>
      <w:pPr>
        <w:spacing w:line="400" w:lineRule="exact"/>
        <w:ind w:left="1078" w:leftChars="228" w:right="-198" w:hanging="600" w:hangingChars="250"/>
        <w:rPr>
          <w:rFonts w:ascii="宋体" w:hAnsi="宋体"/>
          <w:sz w:val="24"/>
        </w:rPr>
      </w:pPr>
      <w:r>
        <w:rPr>
          <w:rFonts w:hint="eastAsia" w:ascii="宋体" w:hAnsi="宋体"/>
          <w:sz w:val="24"/>
        </w:rPr>
        <w:t>（3）有下列情形之一的，视为投标人相互串通投标：</w:t>
      </w:r>
      <w:r>
        <w:rPr>
          <w:rFonts w:hint="eastAsia" w:ascii="宋体" w:hAnsi="宋体"/>
          <w:sz w:val="24"/>
        </w:rPr>
        <w:br w:type="textWrapping"/>
      </w:r>
      <w:r>
        <w:rPr>
          <w:rFonts w:hint="eastAsia" w:ascii="宋体" w:hAnsi="宋体"/>
          <w:sz w:val="24"/>
        </w:rPr>
        <w:t>①不同投标人的投标文件由同一单位或者个人编制；</w:t>
      </w:r>
      <w:r>
        <w:rPr>
          <w:rFonts w:hint="eastAsia" w:ascii="宋体" w:hAnsi="宋体"/>
          <w:sz w:val="24"/>
        </w:rPr>
        <w:br w:type="textWrapping"/>
      </w:r>
      <w:r>
        <w:rPr>
          <w:rFonts w:hint="eastAsia" w:ascii="宋体" w:hAnsi="宋体"/>
          <w:sz w:val="24"/>
        </w:rPr>
        <w:t>②不同投标人委托同一单位或者个人办理投标事宜；</w:t>
      </w:r>
      <w:r>
        <w:rPr>
          <w:rFonts w:hint="eastAsia" w:ascii="宋体" w:hAnsi="宋体"/>
          <w:sz w:val="24"/>
        </w:rPr>
        <w:br w:type="textWrapping"/>
      </w:r>
      <w:r>
        <w:rPr>
          <w:rFonts w:hint="eastAsia" w:ascii="宋体" w:hAnsi="宋体"/>
          <w:sz w:val="24"/>
        </w:rPr>
        <w:t>③不同投标人的投标文件载明的项目管理成员为同一人；</w:t>
      </w:r>
      <w:r>
        <w:rPr>
          <w:rFonts w:hint="eastAsia" w:ascii="宋体" w:hAnsi="宋体"/>
          <w:sz w:val="24"/>
        </w:rPr>
        <w:br w:type="textWrapping"/>
      </w:r>
      <w:r>
        <w:rPr>
          <w:rFonts w:hint="eastAsia" w:ascii="宋体" w:hAnsi="宋体"/>
          <w:sz w:val="24"/>
        </w:rPr>
        <w:t>④不同投标人的投标文件异常一致或者投标报价呈规律性差异；</w:t>
      </w:r>
      <w:r>
        <w:rPr>
          <w:rFonts w:hint="eastAsia" w:ascii="宋体" w:hAnsi="宋体"/>
          <w:sz w:val="24"/>
        </w:rPr>
        <w:br w:type="textWrapping"/>
      </w:r>
      <w:r>
        <w:rPr>
          <w:rFonts w:hint="eastAsia" w:ascii="宋体" w:hAnsi="宋体"/>
          <w:sz w:val="24"/>
        </w:rPr>
        <w:t>⑤不同投标人的投标文件相互混装；</w:t>
      </w:r>
      <w:r>
        <w:rPr>
          <w:rFonts w:hint="eastAsia" w:ascii="宋体" w:hAnsi="宋体"/>
          <w:sz w:val="24"/>
        </w:rPr>
        <w:br w:type="textWrapping"/>
      </w:r>
      <w:r>
        <w:rPr>
          <w:rFonts w:hint="eastAsia" w:ascii="宋体" w:hAnsi="宋体"/>
          <w:sz w:val="24"/>
        </w:rPr>
        <w:t>⑥不同投标人的投标保证金从同一单位或者个人的账户转出。</w:t>
      </w:r>
    </w:p>
    <w:p>
      <w:pPr>
        <w:spacing w:line="400" w:lineRule="exact"/>
        <w:ind w:left="1078" w:leftChars="228" w:right="-198" w:hanging="600" w:hangingChars="250"/>
        <w:rPr>
          <w:rFonts w:ascii="宋体" w:hAnsi="宋体"/>
          <w:sz w:val="24"/>
        </w:rPr>
      </w:pPr>
      <w:r>
        <w:rPr>
          <w:rFonts w:hint="eastAsia" w:ascii="宋体" w:hAnsi="宋体"/>
          <w:sz w:val="24"/>
        </w:rPr>
        <w:t>（4）投标人有下列情形之一的，属于以其他方式弄虚作假的行为：</w:t>
      </w:r>
      <w:r>
        <w:rPr>
          <w:rFonts w:hint="eastAsia" w:ascii="宋体" w:hAnsi="宋体"/>
          <w:sz w:val="24"/>
        </w:rPr>
        <w:br w:type="textWrapping"/>
      </w:r>
      <w:r>
        <w:rPr>
          <w:rFonts w:hint="eastAsia" w:ascii="宋体" w:hAnsi="宋体"/>
          <w:sz w:val="24"/>
        </w:rPr>
        <w:t>①使用伪造、变造的许可证件；</w:t>
      </w:r>
      <w:r>
        <w:rPr>
          <w:rFonts w:hint="eastAsia" w:ascii="宋体" w:hAnsi="宋体"/>
          <w:sz w:val="24"/>
        </w:rPr>
        <w:br w:type="textWrapping"/>
      </w:r>
      <w:r>
        <w:rPr>
          <w:rFonts w:hint="eastAsia" w:ascii="宋体" w:hAnsi="宋体"/>
          <w:sz w:val="24"/>
        </w:rPr>
        <w:t>②提供虚假的财务状况或者业绩；</w:t>
      </w:r>
      <w:r>
        <w:rPr>
          <w:rFonts w:hint="eastAsia" w:ascii="宋体" w:hAnsi="宋体"/>
          <w:sz w:val="24"/>
        </w:rPr>
        <w:br w:type="textWrapping"/>
      </w:r>
      <w:r>
        <w:rPr>
          <w:rFonts w:hint="eastAsia" w:ascii="宋体" w:hAnsi="宋体"/>
          <w:sz w:val="24"/>
        </w:rPr>
        <w:t>③提供虚假的项目负责人或者主要技术人员简历、劳动关系证明；</w:t>
      </w:r>
      <w:r>
        <w:rPr>
          <w:rFonts w:hint="eastAsia" w:ascii="宋体" w:hAnsi="宋体"/>
          <w:sz w:val="24"/>
        </w:rPr>
        <w:br w:type="textWrapping"/>
      </w:r>
      <w:r>
        <w:rPr>
          <w:rFonts w:hint="eastAsia" w:ascii="宋体" w:hAnsi="宋体"/>
          <w:sz w:val="24"/>
        </w:rPr>
        <w:t>④提供虚假的信用状况；</w:t>
      </w:r>
      <w:r>
        <w:rPr>
          <w:rFonts w:hint="eastAsia" w:ascii="宋体" w:hAnsi="宋体"/>
          <w:sz w:val="24"/>
        </w:rPr>
        <w:br w:type="textWrapping"/>
      </w:r>
      <w:r>
        <w:rPr>
          <w:rFonts w:hint="eastAsia" w:ascii="宋体" w:hAnsi="宋体"/>
          <w:sz w:val="24"/>
        </w:rPr>
        <w:t>⑤其他弄虚作假的行为。</w:t>
      </w:r>
    </w:p>
    <w:p>
      <w:pPr>
        <w:spacing w:line="400" w:lineRule="exact"/>
        <w:jc w:val="center"/>
        <w:rPr>
          <w:rFonts w:ascii="黑体" w:hAnsi="黑体" w:eastAsia="黑体" w:cs="黑体"/>
          <w:b/>
          <w:bCs/>
          <w:sz w:val="32"/>
          <w:szCs w:val="32"/>
        </w:rPr>
      </w:pPr>
      <w:r>
        <w:rPr>
          <w:rFonts w:hint="eastAsia" w:ascii="宋体" w:hAnsi="宋体"/>
          <w:sz w:val="24"/>
        </w:rPr>
        <w:br w:type="page"/>
      </w:r>
      <w:r>
        <w:rPr>
          <w:rFonts w:hint="eastAsia" w:ascii="黑体" w:hAnsi="黑体" w:eastAsia="黑体" w:cs="黑体"/>
          <w:b/>
          <w:bCs/>
          <w:sz w:val="32"/>
          <w:szCs w:val="32"/>
        </w:rPr>
        <w:t>招标无效、投标无效、中标无效的认定及处理</w:t>
      </w:r>
    </w:p>
    <w:p>
      <w:pPr>
        <w:spacing w:line="400" w:lineRule="exact"/>
        <w:rPr>
          <w:rFonts w:ascii="宋体" w:hAnsi="宋体" w:cs="宋体"/>
          <w:sz w:val="24"/>
        </w:rPr>
      </w:pPr>
    </w:p>
    <w:p>
      <w:pPr>
        <w:spacing w:line="400" w:lineRule="exact"/>
        <w:ind w:firstLine="480" w:firstLineChars="200"/>
        <w:rPr>
          <w:rFonts w:ascii="宋体" w:hAnsi="宋体" w:cs="宋体"/>
          <w:sz w:val="24"/>
        </w:rPr>
      </w:pPr>
      <w:r>
        <w:rPr>
          <w:rFonts w:hint="eastAsia" w:ascii="宋体" w:hAnsi="宋体" w:cs="宋体"/>
          <w:b/>
          <w:bCs/>
          <w:sz w:val="24"/>
        </w:rPr>
        <w:t>一、招标无效的情形（包括但不限于）：</w:t>
      </w:r>
    </w:p>
    <w:p>
      <w:pPr>
        <w:spacing w:line="400" w:lineRule="exact"/>
        <w:ind w:firstLine="480" w:firstLineChars="200"/>
        <w:rPr>
          <w:rFonts w:ascii="宋体" w:hAnsi="宋体" w:cs="宋体"/>
          <w:sz w:val="24"/>
        </w:rPr>
      </w:pPr>
      <w:r>
        <w:rPr>
          <w:rFonts w:hint="eastAsia" w:ascii="宋体" w:hAnsi="宋体" w:cs="宋体"/>
          <w:sz w:val="24"/>
        </w:rPr>
        <w:t>（一）违法发布公告，</w:t>
      </w:r>
      <w:r>
        <w:rPr>
          <w:rFonts w:ascii="宋体" w:hAnsi="宋体"/>
          <w:sz w:val="24"/>
        </w:rPr>
        <w:t>包括不在指定媒介发布资格预审公告和招标公告</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（二）应当公开招标而邀请招标；</w:t>
      </w:r>
    </w:p>
    <w:p>
      <w:pPr>
        <w:spacing w:line="400" w:lineRule="exact"/>
        <w:ind w:firstLine="480" w:firstLineChars="200"/>
        <w:rPr>
          <w:rFonts w:ascii="宋体" w:hAnsi="宋体" w:cs="宋体"/>
          <w:sz w:val="24"/>
        </w:rPr>
      </w:pPr>
      <w:r>
        <w:rPr>
          <w:rFonts w:hint="eastAsia" w:ascii="宋体" w:hAnsi="宋体" w:cs="宋体"/>
          <w:sz w:val="24"/>
        </w:rPr>
        <w:t>（三）资格预审文件、招标文件发售时间不符合法定要求；</w:t>
      </w:r>
    </w:p>
    <w:p>
      <w:pPr>
        <w:spacing w:line="400" w:lineRule="exact"/>
        <w:ind w:firstLine="480" w:firstLineChars="200"/>
        <w:rPr>
          <w:rFonts w:ascii="宋体" w:hAnsi="宋体" w:cs="宋体"/>
          <w:sz w:val="24"/>
        </w:rPr>
      </w:pPr>
      <w:r>
        <w:rPr>
          <w:rFonts w:hint="eastAsia" w:ascii="宋体" w:hAnsi="宋体" w:cs="宋体"/>
          <w:sz w:val="24"/>
        </w:rPr>
        <w:t>（四）不按照资格预审文件载明的标准和方法进行资格预审，或者资格审查委员会的组建不符合法定要求；</w:t>
      </w:r>
    </w:p>
    <w:p>
      <w:pPr>
        <w:spacing w:line="400" w:lineRule="exact"/>
        <w:ind w:firstLine="480" w:firstLineChars="200"/>
        <w:rPr>
          <w:rFonts w:ascii="宋体" w:hAnsi="宋体" w:cs="宋体"/>
          <w:sz w:val="24"/>
        </w:rPr>
      </w:pPr>
      <w:r>
        <w:rPr>
          <w:rFonts w:hint="eastAsia" w:ascii="宋体" w:hAnsi="宋体" w:cs="宋体"/>
          <w:sz w:val="24"/>
        </w:rPr>
        <w:t>（五）招标人或者招标代理机构限制排斥潜在投标人；</w:t>
      </w:r>
    </w:p>
    <w:p>
      <w:pPr>
        <w:spacing w:line="400" w:lineRule="exact"/>
        <w:ind w:firstLine="480" w:firstLineChars="200"/>
        <w:rPr>
          <w:rFonts w:ascii="宋体" w:hAnsi="宋体" w:cs="宋体"/>
          <w:sz w:val="24"/>
        </w:rPr>
      </w:pPr>
      <w:r>
        <w:rPr>
          <w:rFonts w:hint="eastAsia" w:ascii="宋体" w:hAnsi="宋体" w:cs="宋体"/>
          <w:sz w:val="24"/>
        </w:rPr>
        <w:t>（六）招标人或者招标代理机构向他人透露已获取招标文件的潜在投标人的名称、数量或者可能影响公平竞争的有关招投标的其他情况，或者泄露标底；</w:t>
      </w:r>
    </w:p>
    <w:p>
      <w:pPr>
        <w:spacing w:line="400" w:lineRule="exact"/>
        <w:ind w:firstLine="480" w:firstLineChars="200"/>
        <w:rPr>
          <w:rFonts w:ascii="宋体" w:hAnsi="宋体" w:cs="宋体"/>
          <w:sz w:val="24"/>
        </w:rPr>
      </w:pPr>
      <w:r>
        <w:rPr>
          <w:rFonts w:hint="eastAsia" w:ascii="宋体" w:hAnsi="宋体" w:cs="宋体"/>
          <w:sz w:val="24"/>
        </w:rPr>
        <w:t>（七）招标人或者招标代理机构与投标人串通；</w:t>
      </w:r>
    </w:p>
    <w:p>
      <w:pPr>
        <w:spacing w:line="400" w:lineRule="exact"/>
        <w:ind w:firstLine="480" w:firstLineChars="200"/>
        <w:rPr>
          <w:rFonts w:ascii="宋体" w:hAnsi="宋体" w:cs="宋体"/>
          <w:sz w:val="24"/>
        </w:rPr>
      </w:pPr>
      <w:r>
        <w:rPr>
          <w:rFonts w:hint="eastAsia" w:ascii="宋体" w:hAnsi="宋体" w:cs="宋体"/>
          <w:sz w:val="24"/>
        </w:rPr>
        <w:t>（八）招标代理机构在所代理的招标项目中投标或者代理投标。</w:t>
      </w:r>
    </w:p>
    <w:p>
      <w:pPr>
        <w:spacing w:line="400" w:lineRule="exact"/>
        <w:ind w:firstLine="480" w:firstLineChars="200"/>
        <w:rPr>
          <w:rFonts w:ascii="宋体" w:hAnsi="宋体" w:cs="宋体"/>
          <w:sz w:val="24"/>
        </w:rPr>
      </w:pPr>
      <w:r>
        <w:rPr>
          <w:rFonts w:hint="eastAsia" w:ascii="宋体" w:hAnsi="宋体" w:cs="宋体"/>
          <w:b/>
          <w:sz w:val="24"/>
        </w:rPr>
        <w:t>上述违法行为，如果在投标截止前发现的，责令改正并顺延投标截止时间。如果在投标截止后被发现和查实，且对中标结果造成实质性影响的，招标无效。如果是在中标通知书发出后被查实且影响中标结果的，中标无效。招标被确认无效的，招标人应当重新招标。</w:t>
      </w:r>
    </w:p>
    <w:p>
      <w:pPr>
        <w:spacing w:line="400" w:lineRule="exact"/>
        <w:ind w:firstLine="480" w:firstLineChars="200"/>
        <w:rPr>
          <w:rFonts w:ascii="宋体" w:hAnsi="宋体" w:cs="宋体"/>
          <w:sz w:val="24"/>
        </w:rPr>
      </w:pPr>
    </w:p>
    <w:p>
      <w:pPr>
        <w:autoSpaceDN w:val="0"/>
        <w:spacing w:line="400" w:lineRule="exact"/>
        <w:ind w:firstLine="480" w:firstLineChars="200"/>
        <w:rPr>
          <w:rFonts w:ascii="宋体" w:hAnsi="宋体" w:cs="宋体"/>
          <w:b/>
          <w:bCs/>
          <w:sz w:val="24"/>
        </w:rPr>
      </w:pPr>
      <w:r>
        <w:rPr>
          <w:rFonts w:hint="eastAsia" w:ascii="宋体" w:hAnsi="宋体" w:cs="宋体"/>
          <w:b/>
          <w:bCs/>
          <w:sz w:val="24"/>
        </w:rPr>
        <w:t>二、投标无效的情形（包括但不限于）：</w:t>
      </w:r>
    </w:p>
    <w:p>
      <w:pPr>
        <w:autoSpaceDN w:val="0"/>
        <w:spacing w:line="400" w:lineRule="exact"/>
        <w:ind w:firstLine="480" w:firstLineChars="200"/>
        <w:rPr>
          <w:rFonts w:ascii="宋体" w:hAnsi="宋体" w:cs="宋体"/>
          <w:sz w:val="24"/>
        </w:rPr>
      </w:pPr>
      <w:r>
        <w:rPr>
          <w:rFonts w:hint="eastAsia" w:ascii="宋体" w:hAnsi="宋体" w:cs="宋体"/>
          <w:sz w:val="24"/>
        </w:rPr>
        <w:t>（一）与招标人存在利害关系可能影响招标公正性的法人、其他组织或者个人参加投标的；</w:t>
      </w:r>
    </w:p>
    <w:p>
      <w:pPr>
        <w:autoSpaceDN w:val="0"/>
        <w:spacing w:line="400" w:lineRule="exact"/>
        <w:ind w:firstLine="480" w:firstLineChars="200"/>
        <w:rPr>
          <w:rFonts w:ascii="宋体" w:hAnsi="宋体" w:cs="宋体"/>
          <w:sz w:val="24"/>
        </w:rPr>
      </w:pPr>
      <w:r>
        <w:rPr>
          <w:rFonts w:hint="eastAsia" w:ascii="宋体" w:hAnsi="宋体" w:cs="宋体"/>
          <w:sz w:val="24"/>
        </w:rPr>
        <w:t>（二）单位负责人为同一人或者存在控股、管理关系的不同单位，参加同一标段投标或者未划分标段的同一招标项目投标的；</w:t>
      </w:r>
    </w:p>
    <w:p>
      <w:pPr>
        <w:autoSpaceDN w:val="0"/>
        <w:spacing w:line="400" w:lineRule="exact"/>
        <w:ind w:firstLine="480" w:firstLineChars="200"/>
        <w:rPr>
          <w:rFonts w:ascii="宋体" w:hAnsi="宋体" w:cs="宋体"/>
          <w:sz w:val="24"/>
        </w:rPr>
      </w:pPr>
      <w:r>
        <w:rPr>
          <w:rFonts w:hint="eastAsia" w:ascii="宋体" w:hAnsi="宋体" w:cs="宋体"/>
          <w:sz w:val="24"/>
        </w:rPr>
        <w:t>（三）资格预审后联合体增减、更换成员的；</w:t>
      </w:r>
    </w:p>
    <w:p>
      <w:pPr>
        <w:autoSpaceDN w:val="0"/>
        <w:spacing w:line="400" w:lineRule="exact"/>
        <w:ind w:firstLine="480" w:firstLineChars="200"/>
        <w:rPr>
          <w:rFonts w:ascii="宋体" w:hAnsi="宋体" w:cs="宋体"/>
          <w:sz w:val="24"/>
        </w:rPr>
      </w:pPr>
      <w:r>
        <w:rPr>
          <w:rFonts w:hint="eastAsia" w:ascii="宋体" w:hAnsi="宋体" w:cs="宋体"/>
          <w:sz w:val="24"/>
        </w:rPr>
        <w:t>（四）联合体各方在同一招标项目中以自己名义单独投标或者参加其他联合体投标的；</w:t>
      </w:r>
    </w:p>
    <w:p>
      <w:pPr>
        <w:autoSpaceDN w:val="0"/>
        <w:spacing w:line="400" w:lineRule="exact"/>
        <w:ind w:firstLine="480" w:firstLineChars="200"/>
        <w:rPr>
          <w:rFonts w:ascii="宋体" w:hAnsi="宋体" w:cs="宋体"/>
          <w:sz w:val="24"/>
        </w:rPr>
      </w:pPr>
      <w:r>
        <w:rPr>
          <w:rFonts w:hint="eastAsia" w:ascii="宋体" w:hAnsi="宋体" w:cs="宋体"/>
          <w:sz w:val="24"/>
        </w:rPr>
        <w:t>（五）投标人发生合并、分立、破产等重大变化，不再具备资格预审文件、招标文件规定的资格条件或者其投标影响招标公正性的；</w:t>
      </w:r>
    </w:p>
    <w:p>
      <w:pPr>
        <w:autoSpaceDN w:val="0"/>
        <w:spacing w:line="400" w:lineRule="exact"/>
        <w:ind w:firstLine="480" w:firstLineChars="200"/>
        <w:rPr>
          <w:rFonts w:ascii="宋体" w:hAnsi="宋体" w:cs="宋体"/>
          <w:sz w:val="24"/>
        </w:rPr>
      </w:pPr>
      <w:r>
        <w:rPr>
          <w:rFonts w:hint="eastAsia" w:ascii="宋体" w:hAnsi="宋体" w:cs="宋体"/>
          <w:sz w:val="24"/>
        </w:rPr>
        <w:t>（六）投标人相互串通投标或者与招标人串通投标的；</w:t>
      </w:r>
    </w:p>
    <w:p>
      <w:pPr>
        <w:autoSpaceDN w:val="0"/>
        <w:spacing w:line="400" w:lineRule="exact"/>
        <w:ind w:firstLine="480" w:firstLineChars="200"/>
        <w:rPr>
          <w:rFonts w:ascii="宋体" w:hAnsi="宋体" w:cs="宋体"/>
          <w:sz w:val="24"/>
        </w:rPr>
      </w:pPr>
      <w:r>
        <w:rPr>
          <w:rFonts w:hint="eastAsia" w:ascii="宋体" w:hAnsi="宋体" w:cs="宋体"/>
          <w:sz w:val="24"/>
        </w:rPr>
        <w:t>（七）投标人以他人名义投标或者以其他方式弄虚作假，骗取中标的；</w:t>
      </w:r>
    </w:p>
    <w:p>
      <w:pPr>
        <w:autoSpaceDN w:val="0"/>
        <w:spacing w:line="400" w:lineRule="exact"/>
        <w:ind w:firstLine="480" w:firstLineChars="200"/>
        <w:rPr>
          <w:rFonts w:ascii="宋体" w:hAnsi="宋体" w:cs="宋体"/>
          <w:sz w:val="24"/>
        </w:rPr>
      </w:pPr>
      <w:r>
        <w:rPr>
          <w:rFonts w:hint="eastAsia" w:ascii="宋体" w:hAnsi="宋体" w:cs="宋体"/>
          <w:sz w:val="24"/>
        </w:rPr>
        <w:t>（八）投标人向招标人或者评标委员会成员行贿的；</w:t>
      </w:r>
    </w:p>
    <w:p>
      <w:pPr>
        <w:autoSpaceDN w:val="0"/>
        <w:spacing w:line="400" w:lineRule="exact"/>
        <w:ind w:firstLine="480" w:firstLineChars="200"/>
        <w:rPr>
          <w:rFonts w:ascii="宋体" w:hAnsi="宋体" w:cs="宋体"/>
          <w:sz w:val="24"/>
        </w:rPr>
      </w:pPr>
      <w:r>
        <w:rPr>
          <w:rFonts w:hint="eastAsia" w:ascii="宋体" w:hAnsi="宋体" w:cs="宋体"/>
          <w:sz w:val="24"/>
        </w:rPr>
        <w:t>（九）投标人受到财产被查封、冻结或者被责令停产停业、吊销营业执照、取消投标资格等处罚的其他违法行为。</w:t>
      </w:r>
    </w:p>
    <w:p>
      <w:pPr>
        <w:autoSpaceDN w:val="0"/>
        <w:spacing w:line="400" w:lineRule="exact"/>
        <w:ind w:firstLine="480" w:firstLineChars="200"/>
        <w:rPr>
          <w:rFonts w:ascii="宋体" w:hAnsi="宋体" w:cs="宋体"/>
          <w:b/>
          <w:sz w:val="24"/>
        </w:rPr>
      </w:pPr>
      <w:r>
        <w:rPr>
          <w:rFonts w:hint="eastAsia" w:ascii="宋体" w:hAnsi="宋体" w:cs="宋体"/>
          <w:b/>
          <w:sz w:val="24"/>
        </w:rPr>
        <w:t>投标被确认无效的，在评标过程中，相关投标应当被否决；在中标候选人公示阶段，应当取消其中标资格；已发出中标通知书的，中标无效。</w:t>
      </w:r>
    </w:p>
    <w:p>
      <w:pPr>
        <w:autoSpaceDN w:val="0"/>
        <w:spacing w:line="400" w:lineRule="exact"/>
        <w:ind w:firstLine="480" w:firstLineChars="200"/>
        <w:rPr>
          <w:rFonts w:ascii="宋体" w:hAnsi="宋体" w:cs="宋体"/>
          <w:b/>
          <w:sz w:val="24"/>
        </w:rPr>
      </w:pPr>
    </w:p>
    <w:p>
      <w:pPr>
        <w:autoSpaceDN w:val="0"/>
        <w:spacing w:line="400" w:lineRule="exact"/>
        <w:ind w:firstLine="480" w:firstLineChars="200"/>
        <w:rPr>
          <w:rFonts w:ascii="宋体" w:hAnsi="宋体" w:cs="宋体"/>
          <w:b/>
          <w:bCs/>
          <w:sz w:val="24"/>
        </w:rPr>
      </w:pPr>
      <w:r>
        <w:rPr>
          <w:rFonts w:hint="eastAsia" w:ascii="宋体" w:hAnsi="宋体" w:cs="宋体"/>
          <w:b/>
          <w:bCs/>
          <w:sz w:val="24"/>
        </w:rPr>
        <w:t>三、中标无效的情形（包括但不限于）：</w:t>
      </w:r>
    </w:p>
    <w:p>
      <w:pPr>
        <w:autoSpaceDN w:val="0"/>
        <w:spacing w:line="400" w:lineRule="exact"/>
        <w:ind w:firstLine="480" w:firstLineChars="200"/>
        <w:rPr>
          <w:rFonts w:ascii="宋体" w:hAnsi="宋体" w:cs="宋体"/>
          <w:sz w:val="24"/>
        </w:rPr>
      </w:pPr>
      <w:r>
        <w:rPr>
          <w:rFonts w:hint="eastAsia" w:ascii="宋体" w:hAnsi="宋体" w:cs="宋体"/>
          <w:sz w:val="24"/>
        </w:rPr>
        <w:t>（一）招标人或者招标代理机构接受未通过资格预审的单位或者个人参加投标的；</w:t>
      </w:r>
    </w:p>
    <w:p>
      <w:pPr>
        <w:autoSpaceDN w:val="0"/>
        <w:spacing w:line="400" w:lineRule="exact"/>
        <w:ind w:firstLine="480" w:firstLineChars="200"/>
        <w:rPr>
          <w:rFonts w:ascii="宋体" w:hAnsi="宋体" w:cs="宋体"/>
          <w:sz w:val="24"/>
        </w:rPr>
      </w:pPr>
      <w:r>
        <w:rPr>
          <w:rFonts w:hint="eastAsia" w:ascii="宋体" w:hAnsi="宋体" w:cs="宋体"/>
          <w:sz w:val="24"/>
        </w:rPr>
        <w:t>（二）招标人或者招标代理机构接受应当拒收的投标文件的；</w:t>
      </w:r>
    </w:p>
    <w:p>
      <w:pPr>
        <w:autoSpaceDN w:val="0"/>
        <w:spacing w:line="400" w:lineRule="exact"/>
        <w:ind w:firstLine="480" w:firstLineChars="200"/>
        <w:rPr>
          <w:rFonts w:ascii="宋体" w:hAnsi="宋体" w:cs="宋体"/>
          <w:sz w:val="24"/>
        </w:rPr>
      </w:pPr>
      <w:r>
        <w:rPr>
          <w:rFonts w:hint="eastAsia" w:ascii="宋体" w:hAnsi="宋体" w:cs="宋体"/>
          <w:sz w:val="24"/>
        </w:rPr>
        <w:t>（三）评标委员会的组建、更换违反《招标投标法》和《条例》规定；</w:t>
      </w:r>
    </w:p>
    <w:p>
      <w:pPr>
        <w:autoSpaceDN w:val="0"/>
        <w:spacing w:line="400" w:lineRule="exact"/>
        <w:ind w:firstLine="480" w:firstLineChars="200"/>
        <w:rPr>
          <w:rFonts w:ascii="宋体" w:hAnsi="宋体" w:cs="宋体"/>
          <w:sz w:val="24"/>
        </w:rPr>
      </w:pPr>
      <w:r>
        <w:rPr>
          <w:rFonts w:hint="eastAsia" w:ascii="宋体" w:hAnsi="宋体" w:cs="宋体"/>
          <w:sz w:val="24"/>
        </w:rPr>
        <w:t>（四）评标委员会成员有《招标投标法》</w:t>
      </w:r>
      <w:r>
        <w:fldChar w:fldCharType="begin"/>
      </w:r>
      <w:r>
        <w:instrText xml:space="preserve"> HYPERLINK \l "_第五十六条" </w:instrText>
      </w:r>
      <w:r>
        <w:fldChar w:fldCharType="separate"/>
      </w:r>
      <w:r>
        <w:rPr>
          <w:rFonts w:hint="eastAsia" w:ascii="宋体" w:hAnsi="宋体" w:cs="宋体"/>
          <w:sz w:val="24"/>
        </w:rPr>
        <w:t>第56条</w:t>
      </w:r>
      <w:r>
        <w:rPr>
          <w:rFonts w:hint="eastAsia" w:ascii="宋体" w:hAnsi="宋体" w:cs="宋体"/>
          <w:sz w:val="24"/>
        </w:rPr>
        <w:fldChar w:fldCharType="end"/>
      </w:r>
      <w:r>
        <w:rPr>
          <w:rFonts w:hint="eastAsia" w:ascii="宋体" w:hAnsi="宋体" w:cs="宋体"/>
          <w:sz w:val="24"/>
        </w:rPr>
        <w:t>，以及《条例》</w:t>
      </w:r>
      <w:r>
        <w:fldChar w:fldCharType="begin"/>
      </w:r>
      <w:r>
        <w:instrText xml:space="preserve"> HYPERLINK \l "_第七十一条_[评委违规的责任]" </w:instrText>
      </w:r>
      <w:r>
        <w:fldChar w:fldCharType="separate"/>
      </w:r>
      <w:r>
        <w:rPr>
          <w:rFonts w:hint="eastAsia" w:ascii="宋体" w:hAnsi="宋体" w:cs="宋体"/>
          <w:sz w:val="24"/>
        </w:rPr>
        <w:t>第71条</w:t>
      </w:r>
      <w:r>
        <w:rPr>
          <w:rFonts w:hint="eastAsia" w:ascii="宋体" w:hAnsi="宋体" w:cs="宋体"/>
          <w:sz w:val="24"/>
        </w:rPr>
        <w:fldChar w:fldCharType="end"/>
      </w:r>
      <w:r>
        <w:rPr>
          <w:rFonts w:hint="eastAsia" w:ascii="宋体" w:hAnsi="宋体" w:cs="宋体"/>
          <w:sz w:val="24"/>
        </w:rPr>
        <w:t>、</w:t>
      </w:r>
      <w:r>
        <w:fldChar w:fldCharType="begin"/>
      </w:r>
      <w:r>
        <w:instrText xml:space="preserve"> HYPERLINK \l "_第七十二条_[评委受贿的责任]" </w:instrText>
      </w:r>
      <w:r>
        <w:fldChar w:fldCharType="separate"/>
      </w:r>
      <w:r>
        <w:rPr>
          <w:rFonts w:hint="eastAsia" w:ascii="宋体" w:hAnsi="宋体" w:cs="宋体"/>
          <w:sz w:val="24"/>
        </w:rPr>
        <w:t>第72条</w:t>
      </w:r>
      <w:r>
        <w:rPr>
          <w:rFonts w:hint="eastAsia" w:ascii="宋体" w:hAnsi="宋体" w:cs="宋体"/>
          <w:sz w:val="24"/>
        </w:rPr>
        <w:fldChar w:fldCharType="end"/>
      </w:r>
      <w:r>
        <w:rPr>
          <w:rFonts w:hint="eastAsia" w:ascii="宋体" w:hAnsi="宋体" w:cs="宋体"/>
          <w:sz w:val="24"/>
        </w:rPr>
        <w:t>所列行为之一的；</w:t>
      </w:r>
    </w:p>
    <w:p>
      <w:pPr>
        <w:autoSpaceDN w:val="0"/>
        <w:spacing w:line="400" w:lineRule="exact"/>
        <w:ind w:firstLine="480" w:firstLineChars="200"/>
        <w:rPr>
          <w:rFonts w:ascii="宋体" w:hAnsi="宋体" w:cs="宋体"/>
          <w:sz w:val="24"/>
        </w:rPr>
      </w:pPr>
      <w:r>
        <w:rPr>
          <w:rFonts w:hint="eastAsia" w:ascii="宋体" w:hAnsi="宋体" w:cs="宋体"/>
          <w:sz w:val="24"/>
        </w:rPr>
        <w:t>（五）招标人向他人透露已获取招标文件的潜在投标人的名称、数量或者可能影响公平竞争的有关招标投标的其他情况的，或者泄露标底，影响中标结果的；</w:t>
      </w:r>
    </w:p>
    <w:p>
      <w:pPr>
        <w:autoSpaceDN w:val="0"/>
        <w:spacing w:line="400" w:lineRule="exact"/>
        <w:ind w:firstLine="480" w:firstLineChars="200"/>
        <w:rPr>
          <w:rFonts w:ascii="宋体" w:hAnsi="宋体" w:cs="宋体"/>
          <w:sz w:val="24"/>
        </w:rPr>
      </w:pPr>
      <w:r>
        <w:rPr>
          <w:rFonts w:hint="eastAsia" w:ascii="宋体" w:hAnsi="宋体" w:cs="宋体"/>
          <w:sz w:val="24"/>
        </w:rPr>
        <w:t>（六）招标代理机构泄露应当保密的与招标投标活动有关的情况和资料的，或者与招标人、投标人串通损害国家利益、社会公共利益或者他人合法权益，影响中标结果的；</w:t>
      </w:r>
    </w:p>
    <w:p>
      <w:pPr>
        <w:autoSpaceDN w:val="0"/>
        <w:spacing w:line="400" w:lineRule="exact"/>
        <w:ind w:firstLine="480" w:firstLineChars="200"/>
        <w:rPr>
          <w:rFonts w:ascii="宋体" w:hAnsi="宋体" w:cs="宋体"/>
          <w:sz w:val="24"/>
        </w:rPr>
      </w:pPr>
      <w:r>
        <w:rPr>
          <w:rFonts w:hint="eastAsia" w:ascii="宋体" w:hAnsi="宋体" w:cs="宋体"/>
          <w:sz w:val="24"/>
        </w:rPr>
        <w:t>（七）投标人相互串通投标或者与招标人串通投标的，投标人以向招标人或者评标委员会成员行贿的手段谋取中标的；</w:t>
      </w:r>
    </w:p>
    <w:p>
      <w:pPr>
        <w:autoSpaceDN w:val="0"/>
        <w:spacing w:line="400" w:lineRule="exact"/>
        <w:ind w:firstLine="480" w:firstLineChars="200"/>
        <w:rPr>
          <w:rFonts w:ascii="宋体" w:hAnsi="宋体" w:cs="宋体"/>
          <w:sz w:val="24"/>
        </w:rPr>
      </w:pPr>
      <w:r>
        <w:rPr>
          <w:rFonts w:hint="eastAsia" w:ascii="宋体" w:hAnsi="宋体" w:cs="宋体"/>
          <w:sz w:val="24"/>
        </w:rPr>
        <w:t>（八）投标人以他人名义投标或者以其他方式弄虚作假，骗取中标的；</w:t>
      </w:r>
    </w:p>
    <w:p>
      <w:pPr>
        <w:autoSpaceDN w:val="0"/>
        <w:spacing w:line="400" w:lineRule="exact"/>
        <w:ind w:firstLine="480" w:firstLineChars="200"/>
        <w:rPr>
          <w:rFonts w:ascii="宋体" w:hAnsi="宋体" w:cs="宋体"/>
          <w:sz w:val="24"/>
        </w:rPr>
      </w:pPr>
      <w:r>
        <w:rPr>
          <w:rFonts w:hint="eastAsia" w:ascii="宋体" w:hAnsi="宋体" w:cs="宋体"/>
          <w:sz w:val="24"/>
        </w:rPr>
        <w:t>（九）招标人与投标人就投标价格、投标方案等实质性内容进行谈判，影响中标结果的；</w:t>
      </w:r>
    </w:p>
    <w:p>
      <w:pPr>
        <w:autoSpaceDN w:val="0"/>
        <w:spacing w:line="400" w:lineRule="exact"/>
        <w:ind w:firstLine="480" w:firstLineChars="200"/>
        <w:jc w:val="left"/>
        <w:rPr>
          <w:rFonts w:ascii="宋体" w:hAnsi="宋体" w:cs="宋体"/>
          <w:sz w:val="24"/>
        </w:rPr>
      </w:pPr>
      <w:r>
        <w:rPr>
          <w:rFonts w:hint="eastAsia" w:ascii="宋体" w:hAnsi="宋体" w:cs="宋体"/>
          <w:sz w:val="24"/>
        </w:rPr>
        <w:t>（十）招标人在评标委员会依法推荐的中标候选人以外确定中标人的，依法必须进行招标的项目在所有投标被评标委员会否决后自行确定中标人的。</w:t>
      </w:r>
    </w:p>
    <w:p>
      <w:pPr>
        <w:autoSpaceDN w:val="0"/>
        <w:spacing w:line="400" w:lineRule="exact"/>
        <w:ind w:firstLine="480" w:firstLineChars="200"/>
        <w:jc w:val="left"/>
        <w:rPr>
          <w:rFonts w:ascii="宋体" w:hAnsi="宋体" w:cs="宋体"/>
          <w:b/>
          <w:sz w:val="24"/>
        </w:rPr>
      </w:pPr>
      <w:r>
        <w:rPr>
          <w:rFonts w:hint="eastAsia" w:ascii="宋体" w:hAnsi="宋体" w:cs="宋体"/>
          <w:b/>
          <w:sz w:val="24"/>
        </w:rPr>
        <w:t>中标被确认无效的，按照《招标投标法》</w:t>
      </w:r>
      <w:r>
        <w:fldChar w:fldCharType="begin"/>
      </w:r>
      <w:r>
        <w:instrText xml:space="preserve"> HYPERLINK \l "_第六十四条" </w:instrText>
      </w:r>
      <w:r>
        <w:fldChar w:fldCharType="separate"/>
      </w:r>
      <w:r>
        <w:rPr>
          <w:rFonts w:hint="eastAsia" w:ascii="宋体" w:hAnsi="宋体" w:cs="宋体"/>
          <w:b/>
          <w:sz w:val="24"/>
        </w:rPr>
        <w:t>第64条</w:t>
      </w:r>
      <w:r>
        <w:rPr>
          <w:rFonts w:hint="eastAsia" w:ascii="宋体" w:hAnsi="宋体" w:cs="宋体"/>
          <w:b/>
          <w:sz w:val="24"/>
        </w:rPr>
        <w:fldChar w:fldCharType="end"/>
      </w:r>
      <w:r>
        <w:rPr>
          <w:rFonts w:hint="eastAsia" w:ascii="宋体" w:hAnsi="宋体" w:cs="宋体"/>
          <w:b/>
          <w:sz w:val="24"/>
        </w:rPr>
        <w:t>规定，由招标人从符合条件的其他中标候选人中确定中标人或者重新招标。</w:t>
      </w:r>
    </w:p>
    <w:p>
      <w:pPr>
        <w:spacing w:line="400" w:lineRule="exact"/>
        <w:jc w:val="center"/>
        <w:rPr>
          <w:rFonts w:ascii="黑体" w:hAnsi="黑体" w:eastAsia="黑体" w:cs="黑体"/>
          <w:b/>
          <w:bCs/>
          <w:sz w:val="32"/>
          <w:szCs w:val="32"/>
        </w:rPr>
      </w:pPr>
      <w:r>
        <w:rPr>
          <w:rFonts w:hint="eastAsia" w:ascii="宋体" w:hAnsi="宋体"/>
          <w:sz w:val="24"/>
        </w:rPr>
        <w:br w:type="page"/>
      </w:r>
      <w:r>
        <w:rPr>
          <w:rFonts w:hint="eastAsia" w:ascii="黑体" w:hAnsi="黑体" w:eastAsia="黑体" w:cs="黑体"/>
          <w:b/>
          <w:bCs/>
          <w:sz w:val="32"/>
          <w:szCs w:val="32"/>
        </w:rPr>
        <w:t>不予退还投标保证金和诚信保证金的情形</w:t>
      </w:r>
    </w:p>
    <w:p>
      <w:pPr>
        <w:spacing w:line="400" w:lineRule="exact"/>
        <w:rPr>
          <w:rFonts w:ascii="宋体" w:hAnsi="宋体" w:cs="宋体"/>
          <w:sz w:val="24"/>
        </w:rPr>
      </w:pPr>
    </w:p>
    <w:p>
      <w:pPr>
        <w:spacing w:line="400" w:lineRule="exact"/>
        <w:ind w:firstLine="480" w:firstLineChars="200"/>
        <w:rPr>
          <w:rFonts w:ascii="宋体" w:hAnsi="宋体" w:cs="宋体"/>
          <w:b/>
          <w:bCs/>
          <w:sz w:val="24"/>
        </w:rPr>
      </w:pPr>
      <w:r>
        <w:rPr>
          <w:rFonts w:hint="eastAsia" w:ascii="宋体" w:hAnsi="宋体" w:cs="宋体"/>
          <w:b/>
          <w:bCs/>
          <w:sz w:val="24"/>
        </w:rPr>
        <w:t>一、有下列情形之一的，投标保证金将不予退还：</w:t>
      </w:r>
    </w:p>
    <w:p>
      <w:pPr>
        <w:spacing w:line="400" w:lineRule="exact"/>
        <w:ind w:firstLine="480" w:firstLineChars="200"/>
        <w:rPr>
          <w:rFonts w:ascii="宋体" w:hAnsi="宋体" w:cs="宋体"/>
          <w:sz w:val="24"/>
        </w:rPr>
      </w:pPr>
      <w:r>
        <w:rPr>
          <w:rFonts w:hint="eastAsia" w:ascii="宋体" w:hAnsi="宋体" w:cs="宋体"/>
          <w:sz w:val="24"/>
        </w:rPr>
        <w:t>（一）投标截止后投标人撤销其投标文件的；</w:t>
      </w:r>
    </w:p>
    <w:p>
      <w:pPr>
        <w:spacing w:line="400" w:lineRule="exact"/>
        <w:ind w:firstLine="480" w:firstLineChars="200"/>
        <w:rPr>
          <w:rFonts w:ascii="宋体" w:hAnsi="宋体" w:cs="宋体"/>
          <w:sz w:val="24"/>
        </w:rPr>
      </w:pPr>
      <w:r>
        <w:rPr>
          <w:rFonts w:hint="eastAsia" w:ascii="宋体" w:hAnsi="宋体" w:cs="宋体"/>
          <w:sz w:val="24"/>
        </w:rPr>
        <w:t>（二）中标人无正当理由不与招标人订立合同的；</w:t>
      </w:r>
    </w:p>
    <w:p>
      <w:pPr>
        <w:spacing w:line="400" w:lineRule="exact"/>
        <w:ind w:firstLine="480" w:firstLineChars="200"/>
        <w:rPr>
          <w:rFonts w:ascii="宋体" w:hAnsi="宋体" w:cs="宋体"/>
          <w:sz w:val="24"/>
        </w:rPr>
      </w:pPr>
      <w:r>
        <w:rPr>
          <w:rFonts w:hint="eastAsia" w:ascii="宋体" w:hAnsi="宋体" w:cs="宋体"/>
          <w:sz w:val="24"/>
        </w:rPr>
        <w:t>（三）中标人在签订合同时向招标人提出附加条件的；</w:t>
      </w:r>
    </w:p>
    <w:p>
      <w:pPr>
        <w:spacing w:line="400" w:lineRule="exact"/>
        <w:ind w:firstLine="480" w:firstLineChars="200"/>
        <w:rPr>
          <w:rFonts w:ascii="宋体" w:hAnsi="宋体" w:cs="宋体"/>
          <w:sz w:val="24"/>
        </w:rPr>
      </w:pPr>
      <w:r>
        <w:rPr>
          <w:rFonts w:hint="eastAsia" w:ascii="宋体" w:hAnsi="宋体" w:cs="宋体"/>
          <w:sz w:val="24"/>
        </w:rPr>
        <w:t>（四）中标人不按照招标文件要求提交履约保证金的。</w:t>
      </w:r>
    </w:p>
    <w:p>
      <w:pPr>
        <w:spacing w:line="400" w:lineRule="exact"/>
        <w:ind w:firstLine="480" w:firstLineChars="200"/>
        <w:rPr>
          <w:rFonts w:ascii="宋体" w:hAnsi="宋体" w:cs="宋体"/>
          <w:sz w:val="24"/>
        </w:rPr>
      </w:pPr>
    </w:p>
    <w:p>
      <w:pPr>
        <w:spacing w:line="400" w:lineRule="exact"/>
        <w:ind w:firstLine="480" w:firstLineChars="200"/>
        <w:rPr>
          <w:rFonts w:ascii="宋体" w:hAnsi="宋体" w:cs="宋体"/>
          <w:b/>
          <w:bCs/>
          <w:sz w:val="24"/>
        </w:rPr>
      </w:pPr>
      <w:r>
        <w:rPr>
          <w:rFonts w:hint="eastAsia" w:ascii="宋体" w:hAnsi="宋体" w:cs="宋体"/>
          <w:b/>
          <w:bCs/>
          <w:sz w:val="24"/>
        </w:rPr>
        <w:t>二、有下列情形之一的，诚信保证金将不予退还：</w:t>
      </w:r>
    </w:p>
    <w:p>
      <w:pPr>
        <w:spacing w:line="400" w:lineRule="exact"/>
        <w:ind w:firstLine="480" w:firstLineChars="200"/>
        <w:rPr>
          <w:rFonts w:ascii="宋体" w:hAnsi="宋体" w:cs="宋体"/>
          <w:sz w:val="24"/>
        </w:rPr>
      </w:pPr>
      <w:r>
        <w:rPr>
          <w:rFonts w:hint="eastAsia" w:ascii="宋体" w:hAnsi="宋体" w:cs="宋体"/>
          <w:sz w:val="24"/>
        </w:rPr>
        <w:t>（一）投标人在投标过程中存在违反《诚信投标承诺书》中承诺内容的；</w:t>
      </w:r>
    </w:p>
    <w:p>
      <w:pPr>
        <w:spacing w:line="400" w:lineRule="exact"/>
        <w:ind w:firstLine="480" w:firstLineChars="200"/>
        <w:rPr>
          <w:rFonts w:ascii="宋体" w:hAnsi="宋体" w:cs="宋体"/>
          <w:sz w:val="24"/>
        </w:rPr>
      </w:pPr>
      <w:r>
        <w:rPr>
          <w:rFonts w:hint="eastAsia" w:ascii="宋体" w:hAnsi="宋体" w:cs="宋体"/>
          <w:sz w:val="24"/>
        </w:rPr>
        <w:t>（二）中标候选人被取消中标资格</w:t>
      </w:r>
      <w:r>
        <w:rPr>
          <w:rFonts w:hint="eastAsia" w:ascii="宋体" w:hAnsi="宋体"/>
          <w:sz w:val="24"/>
        </w:rPr>
        <w:t>或被行政主管部门处罚</w:t>
      </w:r>
      <w:r>
        <w:rPr>
          <w:rFonts w:hint="eastAsia" w:ascii="宋体" w:hAnsi="宋体" w:cs="宋体"/>
          <w:sz w:val="24"/>
        </w:rPr>
        <w:t>的；</w:t>
      </w:r>
    </w:p>
    <w:p>
      <w:pPr>
        <w:spacing w:line="400" w:lineRule="exact"/>
        <w:ind w:firstLine="480" w:firstLineChars="200"/>
        <w:rPr>
          <w:rFonts w:ascii="宋体" w:hAnsi="宋体" w:cs="宋体"/>
          <w:sz w:val="24"/>
        </w:rPr>
      </w:pPr>
      <w:r>
        <w:rPr>
          <w:rFonts w:hint="eastAsia" w:ascii="宋体" w:hAnsi="宋体" w:cs="宋体"/>
          <w:sz w:val="24"/>
        </w:rPr>
        <w:t>（三）法律、法规、规章规定的其他违背诚实信用原则的行为。</w:t>
      </w:r>
    </w:p>
    <w:p>
      <w:pPr>
        <w:spacing w:line="400" w:lineRule="exact"/>
        <w:ind w:right="-198"/>
        <w:rPr>
          <w:rFonts w:ascii="宋体" w:hAnsi="宋体"/>
          <w:sz w:val="24"/>
        </w:rPr>
      </w:pPr>
      <w:r>
        <w:rPr>
          <w:rFonts w:hint="eastAsia" w:ascii="宋体" w:hAnsi="宋体"/>
          <w:sz w:val="24"/>
        </w:rPr>
        <w:br w:type="page"/>
      </w:r>
    </w:p>
    <w:bookmarkEnd w:id="4"/>
    <w:bookmarkEnd w:id="5"/>
    <w:bookmarkEnd w:id="6"/>
    <w:p>
      <w:pPr>
        <w:pStyle w:val="2"/>
        <w:spacing w:before="120" w:after="120" w:line="360" w:lineRule="exact"/>
        <w:jc w:val="center"/>
        <w:rPr>
          <w:rFonts w:ascii="黑体" w:hAnsi="黑体" w:eastAsia="黑体"/>
          <w:b w:val="0"/>
          <w:bCs w:val="0"/>
          <w:sz w:val="32"/>
        </w:rPr>
      </w:pPr>
      <w:bookmarkStart w:id="7" w:name="_Toc152045518"/>
      <w:bookmarkStart w:id="8" w:name="_Toc359208409"/>
      <w:bookmarkStart w:id="9" w:name="_Toc144974486"/>
      <w:bookmarkStart w:id="10" w:name="_Toc152042294"/>
      <w:r>
        <w:rPr>
          <w:rFonts w:hint="eastAsia" w:ascii="黑体" w:hAnsi="黑体" w:eastAsia="黑体"/>
          <w:b w:val="0"/>
          <w:bCs w:val="0"/>
          <w:sz w:val="32"/>
        </w:rPr>
        <w:t>第一章 投标邀请书（适用于邀请招标）</w:t>
      </w:r>
      <w:bookmarkEnd w:id="7"/>
      <w:bookmarkEnd w:id="8"/>
      <w:bookmarkEnd w:id="9"/>
      <w:bookmarkEnd w:id="10"/>
    </w:p>
    <w:p>
      <w:pPr>
        <w:spacing w:line="360" w:lineRule="exact"/>
        <w:rPr>
          <w:sz w:val="24"/>
        </w:rPr>
      </w:pPr>
      <w:r>
        <w:rPr>
          <w:sz w:val="24"/>
        </w:rPr>
        <w:t>（被邀请单位名称）：</w:t>
      </w:r>
    </w:p>
    <w:p>
      <w:pPr>
        <w:pStyle w:val="365"/>
        <w:widowControl w:val="0"/>
        <w:spacing w:line="360" w:lineRule="exact"/>
        <w:rPr>
          <w:rFonts w:ascii="宋体" w:hAnsi="宋体" w:cs="仿宋_GB2312"/>
          <w:b/>
          <w:bCs/>
          <w:sz w:val="24"/>
          <w:szCs w:val="24"/>
        </w:rPr>
      </w:pPr>
      <w:r>
        <w:rPr>
          <w:rFonts w:hint="eastAsia" w:ascii="宋体" w:hAnsi="宋体" w:cs="仿宋_GB2312"/>
          <w:b/>
          <w:bCs/>
          <w:sz w:val="24"/>
          <w:szCs w:val="24"/>
        </w:rPr>
        <w:t>1.招标条件</w:t>
      </w:r>
    </w:p>
    <w:p>
      <w:pPr>
        <w:pStyle w:val="365"/>
        <w:widowControl w:val="0"/>
        <w:spacing w:line="360" w:lineRule="exact"/>
        <w:ind w:firstLine="437"/>
        <w:rPr>
          <w:rFonts w:ascii="宋体" w:hAnsi="宋体" w:cs="仿宋_GB2312"/>
          <w:sz w:val="24"/>
          <w:szCs w:val="24"/>
        </w:rPr>
      </w:pPr>
      <w:r>
        <w:rPr>
          <w:rFonts w:hint="eastAsia" w:ascii="宋体" w:hAnsi="宋体" w:cs="仿宋_GB2312"/>
          <w:sz w:val="24"/>
          <w:szCs w:val="24"/>
          <w:u w:val="single"/>
          <w:lang w:eastAsia="zh-CN"/>
        </w:rPr>
        <w:t>上林观湖苑幼儿园（第二次招标）</w:t>
      </w:r>
      <w:r>
        <w:rPr>
          <w:rFonts w:hint="eastAsia" w:ascii="宋体" w:hAnsi="宋体" w:cs="仿宋_GB2312"/>
          <w:sz w:val="24"/>
          <w:szCs w:val="24"/>
        </w:rPr>
        <w:t>已由</w:t>
      </w:r>
      <w:r>
        <w:rPr>
          <w:rFonts w:hint="eastAsia" w:ascii="宋体" w:hAnsi="宋体" w:cs="@仿宋_GB2312"/>
          <w:sz w:val="24"/>
          <w:u w:val="single"/>
        </w:rPr>
        <w:t>佛山市南海区发展规划和统计局以广东省企业基本建设投资项目备案证：140605701010840</w:t>
      </w:r>
      <w:r>
        <w:rPr>
          <w:rFonts w:hint="eastAsia" w:ascii="宋体" w:hAnsi="宋体" w:cs="仿宋_GB2312"/>
          <w:sz w:val="24"/>
          <w:szCs w:val="24"/>
        </w:rPr>
        <w:t>批准建设，招标人(项目业主)为</w:t>
      </w:r>
      <w:r>
        <w:rPr>
          <w:rFonts w:hint="eastAsia" w:ascii="宋体" w:hAnsi="宋体" w:cs="仿宋_GB2312"/>
          <w:sz w:val="24"/>
          <w:szCs w:val="24"/>
          <w:u w:val="single"/>
        </w:rPr>
        <w:t>佛山市南海恒德胜嘉置业有限公司</w:t>
      </w:r>
      <w:r>
        <w:rPr>
          <w:rFonts w:hint="eastAsia" w:ascii="宋体" w:hAnsi="宋体" w:cs="仿宋_GB2312"/>
          <w:sz w:val="24"/>
          <w:szCs w:val="24"/>
        </w:rPr>
        <w:t>，建设资金来自</w:t>
      </w:r>
      <w:r>
        <w:rPr>
          <w:rFonts w:hint="eastAsia" w:ascii="宋体" w:hAnsi="宋体" w:cs="仿宋_GB2312"/>
          <w:sz w:val="24"/>
          <w:szCs w:val="24"/>
          <w:u w:val="single"/>
        </w:rPr>
        <w:t>自筹</w:t>
      </w:r>
      <w:r>
        <w:rPr>
          <w:rFonts w:hint="eastAsia" w:ascii="宋体" w:hAnsi="宋体" w:cs="仿宋_GB2312"/>
          <w:sz w:val="24"/>
          <w:szCs w:val="24"/>
        </w:rPr>
        <w:t>。项目已具备招标条件，现邀请你单位参加本工程施工招标。</w:t>
      </w:r>
    </w:p>
    <w:p>
      <w:pPr>
        <w:pStyle w:val="365"/>
        <w:widowControl w:val="0"/>
        <w:spacing w:line="360" w:lineRule="exact"/>
        <w:rPr>
          <w:rFonts w:ascii="宋体" w:hAnsi="宋体" w:cs="仿宋_GB2312"/>
          <w:b/>
          <w:bCs/>
          <w:sz w:val="24"/>
          <w:szCs w:val="24"/>
        </w:rPr>
      </w:pPr>
    </w:p>
    <w:p>
      <w:pPr>
        <w:pStyle w:val="365"/>
        <w:widowControl w:val="0"/>
        <w:tabs>
          <w:tab w:val="left" w:pos="6078"/>
        </w:tabs>
        <w:spacing w:line="360" w:lineRule="exact"/>
        <w:rPr>
          <w:rFonts w:ascii="宋体" w:hAnsi="宋体" w:cs="仿宋_GB2312"/>
          <w:b/>
          <w:bCs/>
          <w:sz w:val="24"/>
          <w:szCs w:val="24"/>
        </w:rPr>
      </w:pPr>
      <w:r>
        <w:rPr>
          <w:rFonts w:hint="eastAsia" w:ascii="宋体" w:hAnsi="宋体" w:cs="仿宋_GB2312"/>
          <w:b/>
          <w:bCs/>
          <w:sz w:val="24"/>
          <w:szCs w:val="24"/>
        </w:rPr>
        <w:t>2.工程概况与招标范围</w:t>
      </w:r>
      <w:r>
        <w:rPr>
          <w:rFonts w:ascii="宋体" w:hAnsi="宋体" w:cs="仿宋_GB2312"/>
          <w:b/>
          <w:bCs/>
          <w:sz w:val="24"/>
          <w:szCs w:val="24"/>
        </w:rPr>
        <w:tab/>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2.1建设地点：</w:t>
      </w:r>
      <w:r>
        <w:rPr>
          <w:rFonts w:hint="eastAsia" w:ascii="宋体" w:hAnsi="宋体" w:cs="仿宋_GB2312"/>
          <w:sz w:val="24"/>
          <w:szCs w:val="24"/>
          <w:u w:val="single"/>
        </w:rPr>
        <w:t>佛山市南海区狮山镇官窑永安大道西232号。</w:t>
      </w:r>
    </w:p>
    <w:p>
      <w:pPr>
        <w:pStyle w:val="365"/>
        <w:widowControl w:val="0"/>
        <w:spacing w:line="360" w:lineRule="exact"/>
        <w:rPr>
          <w:rFonts w:ascii="宋体" w:hAnsi="宋体"/>
          <w:sz w:val="24"/>
        </w:rPr>
      </w:pPr>
      <w:r>
        <w:rPr>
          <w:rFonts w:hint="eastAsia" w:ascii="宋体" w:hAnsi="宋体" w:cs="仿宋_GB2312"/>
          <w:sz w:val="24"/>
          <w:szCs w:val="24"/>
        </w:rPr>
        <w:t>2.2项目建设规模：</w:t>
      </w:r>
      <w:r>
        <w:rPr>
          <w:rFonts w:hint="eastAsia" w:ascii="宋体" w:hAnsi="宋体" w:cs="仿宋_GB2312"/>
          <w:sz w:val="24"/>
          <w:szCs w:val="24"/>
          <w:u w:val="single"/>
          <w:lang w:eastAsia="zh-CN"/>
        </w:rPr>
        <w:t>上林观湖苑幼儿园（第二次招标）</w:t>
      </w:r>
      <w:r>
        <w:rPr>
          <w:rFonts w:hint="eastAsia" w:ascii="宋体" w:hAnsi="宋体" w:cs="仿宋_GB2312"/>
          <w:sz w:val="24"/>
          <w:szCs w:val="24"/>
          <w:u w:val="single"/>
        </w:rPr>
        <w:t xml:space="preserve"> ，总建筑面积：2463.80平方米，总项目造价约475万元。</w:t>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2.3计划工期：</w:t>
      </w:r>
      <w:r>
        <w:rPr>
          <w:rFonts w:hint="eastAsia" w:ascii="宋体" w:hAnsi="宋体" w:cs="仿宋_GB2312"/>
          <w:sz w:val="24"/>
          <w:szCs w:val="24"/>
          <w:lang w:eastAsia="zh-CN"/>
        </w:rPr>
        <w:t>365</w:t>
      </w:r>
      <w:r>
        <w:rPr>
          <w:rFonts w:hint="eastAsia" w:ascii="宋体" w:hAnsi="宋体" w:cs="仿宋_GB2312"/>
          <w:sz w:val="24"/>
          <w:szCs w:val="24"/>
          <w:u w:val="single"/>
        </w:rPr>
        <w:t>个日历天</w:t>
      </w:r>
      <w:r>
        <w:rPr>
          <w:rFonts w:hint="eastAsia" w:ascii="宋体" w:hAnsi="宋体"/>
          <w:sz w:val="24"/>
        </w:rPr>
        <w:t>。工期不因雨天、假期等因素而延长。(实际开工日期以合同约定为准)</w:t>
      </w:r>
    </w:p>
    <w:p>
      <w:pPr>
        <w:pStyle w:val="365"/>
        <w:widowControl w:val="0"/>
        <w:spacing w:line="360" w:lineRule="exact"/>
        <w:rPr>
          <w:rFonts w:ascii="宋体" w:hAnsi="宋体"/>
          <w:sz w:val="24"/>
        </w:rPr>
      </w:pPr>
      <w:r>
        <w:rPr>
          <w:rFonts w:hint="eastAsia" w:ascii="宋体" w:hAnsi="宋体" w:cs="仿宋_GB2312"/>
          <w:sz w:val="24"/>
          <w:szCs w:val="24"/>
        </w:rPr>
        <w:t>2.4本招标工程共分</w:t>
      </w:r>
      <w:r>
        <w:rPr>
          <w:rFonts w:hint="eastAsia" w:ascii="宋体" w:hAnsi="宋体" w:cs="仿宋_GB2312"/>
          <w:sz w:val="24"/>
          <w:szCs w:val="24"/>
          <w:u w:val="single"/>
        </w:rPr>
        <w:t xml:space="preserve">  1  </w:t>
      </w:r>
      <w:r>
        <w:rPr>
          <w:rFonts w:hint="eastAsia" w:ascii="宋体" w:hAnsi="宋体" w:cs="仿宋_GB2312"/>
          <w:sz w:val="24"/>
          <w:szCs w:val="24"/>
        </w:rPr>
        <w:t>个标段，本工程招标内容、规模和</w:t>
      </w:r>
      <w:r>
        <w:rPr>
          <w:rFonts w:hint="eastAsia" w:ascii="宋体" w:hAnsi="宋体"/>
          <w:sz w:val="24"/>
        </w:rPr>
        <w:t>工程总投资额</w:t>
      </w:r>
      <w:r>
        <w:rPr>
          <w:rFonts w:hint="eastAsia" w:ascii="宋体" w:hAnsi="宋体" w:cs="仿宋_GB2312"/>
          <w:sz w:val="24"/>
          <w:szCs w:val="24"/>
        </w:rPr>
        <w:t>：</w:t>
      </w:r>
      <w:r>
        <w:rPr>
          <w:rFonts w:hint="eastAsia" w:ascii="宋体" w:hAnsi="宋体"/>
          <w:sz w:val="24"/>
        </w:rPr>
        <w:t>主要建设内容为施工图纸施工范围及招标文件范围内所包含的施工内容。</w:t>
      </w:r>
    </w:p>
    <w:p>
      <w:pPr>
        <w:pStyle w:val="365"/>
        <w:widowControl w:val="0"/>
        <w:spacing w:line="360" w:lineRule="exact"/>
        <w:rPr>
          <w:rFonts w:ascii="宋体" w:hAnsi="宋体"/>
          <w:sz w:val="24"/>
        </w:rPr>
      </w:pPr>
      <w:r>
        <w:rPr>
          <w:rFonts w:hint="eastAsia" w:ascii="宋体" w:hAnsi="宋体"/>
          <w:sz w:val="24"/>
        </w:rPr>
        <w:t>2.4.1招标预算价：4753830.00元；投标上限价（招标控制价）：4753830.00元。</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2.5 承包方式：</w:t>
      </w:r>
      <w:r>
        <w:rPr>
          <w:rFonts w:hint="eastAsia" w:ascii="宋体" w:hAnsi="宋体"/>
          <w:sz w:val="24"/>
          <w:szCs w:val="20"/>
        </w:rPr>
        <w:t>包工、包料、包工期、包安全、包文明施工。</w:t>
      </w:r>
      <w:r>
        <w:rPr>
          <w:rFonts w:hint="eastAsia" w:ascii="宋体" w:hAnsi="宋体" w:cs="仿宋_GB2312"/>
          <w:sz w:val="24"/>
          <w:szCs w:val="24"/>
        </w:rPr>
        <w:t xml:space="preserve">□综合单价包干 </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 xml:space="preserve"> </w:t>
      </w:r>
      <w:r>
        <w:rPr>
          <w:rFonts w:hint="eastAsia" w:ascii="宋体" w:hAnsi="宋体" w:cs="仿宋_GB2312"/>
          <w:sz w:val="24"/>
          <w:szCs w:val="24"/>
          <w:u w:val="single"/>
        </w:rPr>
        <w:t>√固定总价。</w:t>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2.6工程质量要求：</w:t>
      </w:r>
      <w:r>
        <w:rPr>
          <w:rFonts w:hint="eastAsia" w:ascii="宋体" w:hAnsi="宋体" w:cs="仿宋_GB2312"/>
          <w:sz w:val="24"/>
          <w:szCs w:val="24"/>
          <w:u w:val="single"/>
        </w:rPr>
        <w:t>执行国家、省或行业现行的工程建设质量验收标准及规范，须达到验收质量合格或以上等级标准。</w:t>
      </w:r>
    </w:p>
    <w:p>
      <w:pPr>
        <w:pStyle w:val="365"/>
        <w:spacing w:line="360" w:lineRule="exact"/>
        <w:rPr>
          <w:sz w:val="24"/>
          <w:szCs w:val="24"/>
        </w:rPr>
      </w:pPr>
      <w:r>
        <w:rPr>
          <w:rFonts w:hint="eastAsia" w:ascii="宋体" w:hAnsi="宋体" w:cs="仿宋_GB2312"/>
          <w:bCs/>
          <w:sz w:val="24"/>
          <w:szCs w:val="24"/>
        </w:rPr>
        <w:t xml:space="preserve">2.7 </w:t>
      </w:r>
      <w:r>
        <w:rPr>
          <w:rFonts w:ascii="宋体" w:hAnsi="宋体"/>
          <w:sz w:val="24"/>
          <w:szCs w:val="24"/>
        </w:rPr>
        <w:t>安全</w:t>
      </w:r>
      <w:r>
        <w:rPr>
          <w:rFonts w:hint="eastAsia" w:ascii="宋体" w:hAnsi="宋体"/>
          <w:sz w:val="24"/>
          <w:szCs w:val="24"/>
        </w:rPr>
        <w:t>文明施工</w:t>
      </w:r>
      <w:r>
        <w:rPr>
          <w:rFonts w:ascii="宋体" w:hAnsi="宋体"/>
          <w:sz w:val="24"/>
          <w:szCs w:val="24"/>
        </w:rPr>
        <w:t>要求</w:t>
      </w:r>
      <w:r>
        <w:rPr>
          <w:rFonts w:hint="eastAsia" w:ascii="宋体" w:hAnsi="宋体"/>
          <w:sz w:val="24"/>
          <w:szCs w:val="24"/>
        </w:rPr>
        <w:t>：</w:t>
      </w:r>
      <w:r>
        <w:rPr>
          <w:rFonts w:hint="eastAsia"/>
          <w:sz w:val="24"/>
          <w:szCs w:val="24"/>
          <w:lang w:eastAsia="zh-CN"/>
        </w:rPr>
        <w:t>符合国家、省、市安全生产、文明施工管理相关规定，承诺达到合格标准</w:t>
      </w:r>
      <w:r>
        <w:rPr>
          <w:rFonts w:hint="eastAsia"/>
          <w:sz w:val="24"/>
          <w:szCs w:val="24"/>
        </w:rPr>
        <w:t>。</w:t>
      </w:r>
    </w:p>
    <w:p>
      <w:pPr>
        <w:pStyle w:val="365"/>
        <w:widowControl w:val="0"/>
        <w:spacing w:line="360" w:lineRule="exact"/>
        <w:rPr>
          <w:rFonts w:ascii="宋体" w:hAnsi="宋体" w:cs="仿宋_GB2312"/>
          <w:b/>
          <w:bCs/>
          <w:sz w:val="24"/>
          <w:szCs w:val="24"/>
        </w:rPr>
      </w:pPr>
    </w:p>
    <w:p>
      <w:pPr>
        <w:pStyle w:val="365"/>
        <w:widowControl w:val="0"/>
        <w:spacing w:line="360" w:lineRule="exact"/>
        <w:rPr>
          <w:rFonts w:ascii="宋体" w:hAnsi="宋体" w:cs="仿宋_GB2312"/>
          <w:b/>
          <w:bCs/>
          <w:sz w:val="24"/>
          <w:szCs w:val="24"/>
        </w:rPr>
      </w:pPr>
      <w:r>
        <w:rPr>
          <w:rFonts w:hint="eastAsia" w:ascii="宋体" w:hAnsi="宋体" w:cs="仿宋_GB2312"/>
          <w:b/>
          <w:bCs/>
          <w:sz w:val="24"/>
          <w:szCs w:val="24"/>
        </w:rPr>
        <w:t>3.投标人资格要求</w:t>
      </w:r>
    </w:p>
    <w:p>
      <w:pPr>
        <w:pStyle w:val="365"/>
        <w:widowControl w:val="0"/>
        <w:spacing w:line="360" w:lineRule="exact"/>
        <w:ind w:firstLine="480" w:firstLineChars="200"/>
        <w:rPr>
          <w:rFonts w:ascii="宋体" w:hAnsi="宋体" w:cs="仿宋_GB2312"/>
          <w:sz w:val="24"/>
          <w:szCs w:val="24"/>
        </w:rPr>
      </w:pPr>
      <w:r>
        <w:rPr>
          <w:rFonts w:hint="eastAsia" w:ascii="宋体" w:hAnsi="宋体" w:cs="仿宋_GB2312"/>
          <w:sz w:val="24"/>
          <w:szCs w:val="24"/>
        </w:rPr>
        <w:t>投标人应具备承担本工程施工的资质条件、能力和信誉，具体要求如下：</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3.1  法人资格</w:t>
      </w:r>
    </w:p>
    <w:p>
      <w:pPr>
        <w:pStyle w:val="365"/>
        <w:widowControl w:val="0"/>
        <w:spacing w:line="360" w:lineRule="exact"/>
        <w:ind w:firstLine="480" w:firstLineChars="200"/>
        <w:rPr>
          <w:rFonts w:ascii="宋体" w:hAnsi="宋体" w:cs="仿宋_GB2312"/>
          <w:sz w:val="24"/>
          <w:szCs w:val="24"/>
        </w:rPr>
      </w:pPr>
      <w:r>
        <w:rPr>
          <w:rFonts w:hint="eastAsia" w:ascii="宋体" w:hAnsi="宋体" w:cs="仿宋_GB2312"/>
          <w:sz w:val="24"/>
          <w:szCs w:val="24"/>
        </w:rPr>
        <w:t>投标人应具有独立法人资格并依法取得营业执照，营业执照处于有效期。</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3.2  对投标人企业的资质要求</w:t>
      </w:r>
    </w:p>
    <w:p>
      <w:pPr>
        <w:pStyle w:val="365"/>
        <w:spacing w:line="360" w:lineRule="exact"/>
        <w:ind w:left="720" w:hanging="720" w:hangingChars="300"/>
        <w:rPr>
          <w:rFonts w:ascii="宋体" w:hAnsi="宋体" w:cs="仿宋_GB2312"/>
          <w:sz w:val="24"/>
          <w:szCs w:val="24"/>
        </w:rPr>
      </w:pPr>
      <w:r>
        <w:rPr>
          <w:rFonts w:hint="eastAsia" w:ascii="宋体" w:hAnsi="宋体" w:cs="仿宋_GB2312"/>
          <w:sz w:val="24"/>
          <w:szCs w:val="24"/>
        </w:rPr>
        <w:t>3.2.1资质要求：具有有效的建设行政主管部门核发的建筑工程施工总承包三级以上（含三级）资质；</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3.2.2 本工程</w:t>
      </w:r>
      <w:r>
        <w:rPr>
          <w:rFonts w:hint="eastAsia" w:ascii="宋体" w:hAnsi="宋体" w:cs="仿宋_GB2312"/>
          <w:sz w:val="24"/>
          <w:szCs w:val="24"/>
          <w:u w:val="single"/>
        </w:rPr>
        <w:t>不接受</w:t>
      </w:r>
      <w:r>
        <w:rPr>
          <w:rFonts w:hint="eastAsia" w:ascii="宋体" w:hAnsi="宋体" w:cs="仿宋_GB2312"/>
          <w:sz w:val="24"/>
          <w:szCs w:val="24"/>
        </w:rPr>
        <w:t>联合体投标。</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3.3  投标人须持有有效的《安全生产许可证》。</w:t>
      </w:r>
    </w:p>
    <w:p>
      <w:pPr>
        <w:pStyle w:val="365"/>
        <w:widowControl w:val="0"/>
        <w:spacing w:line="360" w:lineRule="exact"/>
        <w:ind w:left="2"/>
        <w:rPr>
          <w:rFonts w:ascii="宋体" w:hAnsi="宋体" w:cs="仿宋_GB2312"/>
          <w:sz w:val="24"/>
          <w:szCs w:val="24"/>
        </w:rPr>
      </w:pPr>
      <w:r>
        <w:rPr>
          <w:rFonts w:hint="eastAsia" w:ascii="宋体" w:hAnsi="宋体" w:cs="仿宋_GB2312"/>
          <w:sz w:val="24"/>
          <w:szCs w:val="24"/>
        </w:rPr>
        <w:t>3.4  投标人应有良好信誉，并持有佛山市（区）建设行政主管部门颁发的有效的《佛山市建筑行业诚信手册》。</w:t>
      </w:r>
    </w:p>
    <w:p>
      <w:pPr>
        <w:pStyle w:val="365"/>
        <w:spacing w:line="360" w:lineRule="exact"/>
        <w:ind w:left="2"/>
        <w:rPr>
          <w:rFonts w:ascii="宋体" w:hAnsi="宋体" w:cs="仿宋_GB2312"/>
          <w:sz w:val="24"/>
          <w:szCs w:val="24"/>
        </w:rPr>
      </w:pPr>
      <w:r>
        <w:rPr>
          <w:rFonts w:hint="eastAsia" w:ascii="宋体" w:hAnsi="宋体" w:cs="仿宋_GB2312"/>
          <w:sz w:val="24"/>
          <w:szCs w:val="24"/>
        </w:rPr>
        <w:t>3.4.1 “佛山市建筑诚信评价体系管理平台”截图打印件投标人在“佛山市建筑诚信评价体系管理平台”中的诚信考评结论须为C级或以上。在开标当天资格审查时企业状态不为锁定状态，以“佛山市建筑诚信评价体系管理平台”公布为准。</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3.4.2</w:t>
      </w:r>
      <w:r>
        <w:rPr>
          <w:rFonts w:hint="eastAsia" w:ascii="宋体" w:hAnsi="宋体"/>
          <w:sz w:val="24"/>
          <w:szCs w:val="24"/>
        </w:rPr>
        <w:t>广东省以外的投标人，建筑企业和人员（项目负责人及专职安全人员）须在“进粤企业和人员诚信信息登记平台”录入相关信息并通过数据规范检查。投标人须提供在广东建设信息网（网址：www.gdcic.net）“进粤企业和人员诚信信息登记平台”关于投标人进粤企业及人员信息登记的网页页面并加盖投标人公章。</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3.5  对投标人拟派项目负责人的要求</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3.5.1对拟派项目负责人的资格要求：1人，须具备注册于投标人本单位的建筑工程专业</w:t>
      </w:r>
      <w:r>
        <w:rPr>
          <w:rFonts w:hint="eastAsia" w:ascii="宋体" w:hAnsi="宋体" w:cs="仿宋_GB2312"/>
          <w:sz w:val="24"/>
          <w:szCs w:val="24"/>
          <w:u w:val="single"/>
        </w:rPr>
        <w:t xml:space="preserve"> 二 </w:t>
      </w:r>
      <w:r>
        <w:rPr>
          <w:rFonts w:hint="eastAsia" w:ascii="宋体" w:hAnsi="宋体" w:cs="仿宋_GB2312"/>
          <w:sz w:val="24"/>
          <w:szCs w:val="24"/>
        </w:rPr>
        <w:t>级（或以上级）注册建造师执业资格证书或临时注册建造师执业资格证书（在广东省外注册的建造师必须是一级建造师；在广东省内注册的二级建造师可提供“取得二级建筑师、二级结构工程师、二级建造师执业资格证书持证人员从业情况信息公开平台”的个人详细信息网页打印件），并持有有效的《安全生产考核合格证（B证）》（广东省内投标人可提供“广东省建筑施工企业管理人员安全生产考核信息系统”的证书查询信息网页打印件）。</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bCs/>
          <w:sz w:val="24"/>
          <w:szCs w:val="24"/>
        </w:rPr>
        <w:t>3.5.2</w:t>
      </w:r>
      <w:r>
        <w:rPr>
          <w:rFonts w:hint="eastAsia" w:ascii="宋体" w:hAnsi="宋体" w:cs="仿宋_GB2312"/>
          <w:sz w:val="24"/>
          <w:szCs w:val="24"/>
        </w:rPr>
        <w:t>投标人拟派驻项目负责人必须在佛山市建筑行业诚信管理系统登记备案的人员中选取，并且拟任项目负责人必须在开标当日未处于被系统锁定状态。省外进粤企业，拟派驻项目负责人必须在省住建厅的“进粤企业和人员诚信信息登记平台”办理了信息登记手续。</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sz w:val="24"/>
          <w:szCs w:val="24"/>
        </w:rPr>
        <w:t>3.5.3 拟派项目负责人没有在其他在建项目中担任项目负责人。</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sz w:val="24"/>
          <w:szCs w:val="24"/>
        </w:rPr>
        <w:t>3.5.4</w:t>
      </w:r>
      <w:r>
        <w:rPr>
          <w:rFonts w:hint="eastAsia" w:ascii="宋体" w:hAnsi="宋体"/>
          <w:sz w:val="24"/>
        </w:rPr>
        <w:t>拟派项目负责人如有参与其他工程投标的情况，必须在投标文件中说明。投标人应慎重考虑选派一名项目负责人参加多个工程项目的投标竞争，如投标项目负责人在两个及以上工程项目均中标的，只能按照不同工程项目中标通知书发出的时间先后，担任本企业最先中标项目的投标项目负责人。后确定该企业为中标人的工程项目的招标人将取消其中标资格。投标人隐瞒中标项目获取中标的，按弄虚作假骗取中标查处。</w:t>
      </w:r>
    </w:p>
    <w:p>
      <w:pPr>
        <w:pStyle w:val="365"/>
        <w:widowControl w:val="0"/>
        <w:spacing w:line="360" w:lineRule="exact"/>
        <w:ind w:left="720" w:hanging="720" w:hangingChars="300"/>
        <w:rPr>
          <w:rFonts w:ascii="宋体" w:hAnsi="宋体"/>
          <w:sz w:val="24"/>
          <w:szCs w:val="24"/>
        </w:rPr>
      </w:pPr>
      <w:r>
        <w:rPr>
          <w:rFonts w:hint="eastAsia" w:ascii="宋体" w:hAnsi="宋体" w:cs="仿宋_GB2312"/>
          <w:bCs/>
          <w:sz w:val="24"/>
          <w:szCs w:val="24"/>
        </w:rPr>
        <w:t>3.6</w:t>
      </w:r>
      <w:r>
        <w:rPr>
          <w:rFonts w:hint="eastAsia" w:ascii="宋体" w:hAnsi="宋体"/>
          <w:sz w:val="24"/>
          <w:szCs w:val="24"/>
        </w:rPr>
        <w:t>专职安全人员：</w:t>
      </w:r>
      <w:r>
        <w:rPr>
          <w:rFonts w:hint="eastAsia" w:ascii="宋体" w:hAnsi="宋体" w:cs="仿宋_GB2312"/>
          <w:sz w:val="24"/>
          <w:szCs w:val="24"/>
        </w:rPr>
        <w:t>1人，</w:t>
      </w:r>
      <w:r>
        <w:rPr>
          <w:rFonts w:hint="eastAsia" w:ascii="宋体" w:hAnsi="宋体"/>
          <w:sz w:val="24"/>
          <w:szCs w:val="24"/>
        </w:rPr>
        <w:t>须具有安全生产考核合格证（C</w:t>
      </w:r>
      <w:r>
        <w:rPr>
          <w:rFonts w:hint="eastAsia" w:ascii="宋体" w:hAnsi="宋体" w:cs="仿宋_GB2312"/>
          <w:sz w:val="24"/>
          <w:szCs w:val="24"/>
        </w:rPr>
        <w:t>证</w:t>
      </w:r>
      <w:r>
        <w:rPr>
          <w:rFonts w:hint="eastAsia" w:ascii="宋体" w:hAnsi="宋体"/>
          <w:sz w:val="24"/>
          <w:szCs w:val="24"/>
        </w:rPr>
        <w:t>）</w:t>
      </w:r>
      <w:r>
        <w:rPr>
          <w:rFonts w:hint="eastAsia" w:ascii="宋体" w:hAnsi="宋体" w:cs="仿宋_GB2312"/>
          <w:sz w:val="24"/>
          <w:szCs w:val="24"/>
        </w:rPr>
        <w:t>（广东省内投标人可提供“广东省建筑施工企业管理人员安全生产考核信息系统”的证书查询信息网页打印件）</w:t>
      </w:r>
      <w:r>
        <w:rPr>
          <w:rFonts w:hint="eastAsia" w:ascii="宋体" w:hAnsi="宋体"/>
          <w:sz w:val="24"/>
          <w:szCs w:val="24"/>
        </w:rPr>
        <w:t>。</w:t>
      </w:r>
    </w:p>
    <w:p>
      <w:pPr>
        <w:pStyle w:val="365"/>
        <w:widowControl w:val="0"/>
        <w:spacing w:line="360" w:lineRule="exact"/>
        <w:rPr>
          <w:rFonts w:ascii="宋体" w:hAnsi="宋体" w:cs="仿宋_GB2312"/>
          <w:b/>
          <w:sz w:val="24"/>
          <w:szCs w:val="24"/>
        </w:rPr>
      </w:pPr>
      <w:r>
        <w:rPr>
          <w:rFonts w:hint="eastAsia" w:ascii="宋体" w:hAnsi="宋体"/>
          <w:sz w:val="24"/>
          <w:szCs w:val="24"/>
        </w:rPr>
        <w:t xml:space="preserve">3.7 </w:t>
      </w:r>
      <w:r>
        <w:rPr>
          <w:rFonts w:hint="eastAsia" w:ascii="宋体" w:hAnsi="宋体" w:cs="仿宋_GB2312"/>
          <w:b/>
          <w:sz w:val="24"/>
          <w:szCs w:val="24"/>
        </w:rPr>
        <w:t>对投标人企业的信誉要求</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3.7.1 投标人企业目前没有处于被有权机关吊销营业执照、吊销资质、停业整顿、取消投标资格或者财产被接管、冻结、进入破产程序等状况。</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3.7.2 投标人无论在何地受到暂停（取消）在当地投标资格的处罚，只要在处罚期内的，都无资格参加投标。</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3.7.3 投标人企业在近三年内（自本工程发出投标邀请书之日起往前顺推）没有骗取中标或围标串标或提供虚假投标材料或严重违约或重大工程质量问题或重大安全生产事故（若有则以行政主管部门或司法、仲裁机构等出具的认定文件为准）。</w:t>
      </w:r>
    </w:p>
    <w:p>
      <w:pPr>
        <w:pStyle w:val="365"/>
        <w:widowControl w:val="0"/>
        <w:spacing w:line="360" w:lineRule="exact"/>
        <w:ind w:left="480" w:hanging="480" w:hangingChars="200"/>
        <w:rPr>
          <w:rFonts w:ascii="宋体" w:hAnsi="宋体" w:cs="仿宋_GB2312"/>
          <w:sz w:val="24"/>
          <w:szCs w:val="24"/>
        </w:rPr>
      </w:pPr>
      <w:r>
        <w:rPr>
          <w:rFonts w:hint="eastAsia" w:ascii="宋体" w:hAnsi="宋体" w:cs="仿宋_GB2312"/>
          <w:bCs/>
          <w:sz w:val="24"/>
          <w:szCs w:val="24"/>
        </w:rPr>
        <w:t>3.8</w:t>
      </w:r>
      <w:r>
        <w:rPr>
          <w:rFonts w:hint="eastAsia" w:ascii="宋体" w:hAnsi="宋体" w:cs="仿宋_GB2312"/>
          <w:sz w:val="24"/>
          <w:szCs w:val="24"/>
        </w:rPr>
        <w:t>与招标人存在利害关系可能影响招标公正性的法人、其他组织或者个人，不得参加投标。单位负责人为同一人或者存在控股、管理关系的不同单位，不得参加同一标段投标或者未划分标段的同一招标项目投标。</w:t>
      </w:r>
    </w:p>
    <w:p>
      <w:pPr>
        <w:spacing w:line="360" w:lineRule="exact"/>
        <w:rPr>
          <w:rFonts w:ascii="宋体" w:hAnsi="宋体" w:cs="仿宋_GB2312"/>
          <w:b/>
          <w:bCs/>
          <w:sz w:val="24"/>
        </w:rPr>
      </w:pPr>
      <w:r>
        <w:rPr>
          <w:rFonts w:hint="eastAsia" w:ascii="宋体" w:hAnsi="宋体" w:cs="仿宋_GB2312"/>
          <w:b/>
          <w:bCs/>
          <w:sz w:val="24"/>
        </w:rPr>
        <w:t>4.报名要求及招标文件、图纸等资料的获取</w:t>
      </w:r>
    </w:p>
    <w:p>
      <w:pPr>
        <w:spacing w:line="360" w:lineRule="exact"/>
        <w:ind w:left="480" w:hanging="480" w:hangingChars="200"/>
        <w:textAlignment w:val="baseline"/>
        <w:rPr>
          <w:rFonts w:ascii="宋体" w:hAnsi="宋体" w:cs="宋体"/>
          <w:kern w:val="0"/>
          <w:sz w:val="24"/>
        </w:rPr>
      </w:pPr>
      <w:r>
        <w:rPr>
          <w:rFonts w:hint="eastAsia" w:ascii="宋体" w:hAnsi="宋体" w:cs="宋体"/>
          <w:kern w:val="0"/>
          <w:sz w:val="24"/>
        </w:rPr>
        <w:t>4.1招标人委托</w:t>
      </w:r>
      <w:r>
        <w:rPr>
          <w:rFonts w:hint="eastAsia" w:ascii="宋体" w:hAnsi="宋体" w:cs="仿宋_GB2312"/>
          <w:kern w:val="0"/>
          <w:sz w:val="24"/>
          <w:u w:val="single"/>
        </w:rPr>
        <w:t>佛山市公共资源交易中心南海分中心</w:t>
      </w:r>
      <w:r>
        <w:rPr>
          <w:rFonts w:hint="eastAsia" w:ascii="宋体" w:hAnsi="宋体" w:cs="宋体"/>
          <w:kern w:val="0"/>
          <w:sz w:val="24"/>
        </w:rPr>
        <w:t>接受投标报名。本项目采用网上报名的方式接受报名。具体操作方法请浏览“佛山市公共资源交易信息化综合平台”网站“工程交易”中的交易指南栏目。网址：http://www.fsggzy.cn/。报名成功后，投标人可自行下载招标文件、图纸。招标文件费用为每套人民币</w:t>
      </w:r>
      <w:r>
        <w:rPr>
          <w:rFonts w:hint="eastAsia" w:ascii="宋体" w:hAnsi="宋体" w:cs="宋体"/>
          <w:kern w:val="0"/>
          <w:sz w:val="24"/>
          <w:u w:val="single"/>
        </w:rPr>
        <w:t>500</w:t>
      </w:r>
      <w:r>
        <w:rPr>
          <w:rFonts w:hint="eastAsia" w:ascii="宋体" w:hAnsi="宋体" w:cs="宋体"/>
          <w:kern w:val="0"/>
          <w:sz w:val="24"/>
        </w:rPr>
        <w:t>元。在项目开标当天收取。</w:t>
      </w:r>
    </w:p>
    <w:p>
      <w:pPr>
        <w:spacing w:line="360" w:lineRule="exact"/>
        <w:ind w:left="480" w:hanging="480" w:hangingChars="200"/>
        <w:textAlignment w:val="baseline"/>
        <w:rPr>
          <w:rFonts w:ascii="宋体" w:hAnsi="宋体" w:cs="仿宋_GB2312"/>
          <w:kern w:val="0"/>
          <w:sz w:val="24"/>
        </w:rPr>
      </w:pPr>
      <w:r>
        <w:rPr>
          <w:rFonts w:hint="eastAsia" w:ascii="宋体" w:hAnsi="宋体" w:cs="宋体"/>
          <w:kern w:val="0"/>
          <w:sz w:val="24"/>
        </w:rPr>
        <w:t>4.2 报名时间：</w:t>
      </w:r>
      <w:r>
        <w:rPr>
          <w:rFonts w:hint="eastAsia" w:ascii="宋体" w:hAnsi="宋体" w:cs="宋体"/>
          <w:kern w:val="0"/>
          <w:sz w:val="24"/>
          <w:u w:val="single"/>
        </w:rPr>
        <w:t>2018</w:t>
      </w:r>
      <w:r>
        <w:rPr>
          <w:rFonts w:hint="eastAsia" w:ascii="宋体" w:hAnsi="宋体" w:cs="宋体"/>
          <w:kern w:val="0"/>
          <w:sz w:val="24"/>
        </w:rPr>
        <w:t>年</w:t>
      </w:r>
      <w:r>
        <w:rPr>
          <w:rFonts w:hint="eastAsia" w:ascii="宋体" w:hAnsi="宋体" w:cs="宋体"/>
          <w:kern w:val="0"/>
          <w:sz w:val="24"/>
          <w:lang w:val="en-US" w:eastAsia="zh-CN"/>
        </w:rPr>
        <w:t xml:space="preserve">  </w:t>
      </w:r>
      <w:r>
        <w:rPr>
          <w:rFonts w:hint="eastAsia" w:ascii="宋体" w:hAnsi="宋体" w:cs="宋体"/>
          <w:kern w:val="0"/>
          <w:sz w:val="24"/>
        </w:rPr>
        <w:t>月</w:t>
      </w:r>
      <w:r>
        <w:rPr>
          <w:rFonts w:hint="eastAsia" w:ascii="宋体" w:hAnsi="宋体" w:cs="宋体"/>
          <w:kern w:val="0"/>
          <w:sz w:val="24"/>
          <w:lang w:val="en-US" w:eastAsia="zh-CN"/>
        </w:rPr>
        <w:t xml:space="preserve">  </w:t>
      </w:r>
      <w:r>
        <w:rPr>
          <w:rFonts w:hint="eastAsia" w:ascii="宋体" w:hAnsi="宋体" w:cs="宋体"/>
          <w:kern w:val="0"/>
          <w:sz w:val="24"/>
        </w:rPr>
        <w:t>日</w:t>
      </w:r>
      <w:r>
        <w:rPr>
          <w:rFonts w:hint="eastAsia" w:ascii="宋体" w:hAnsi="宋体" w:cs="宋体"/>
          <w:kern w:val="0"/>
          <w:sz w:val="24"/>
          <w:u w:val="single"/>
        </w:rPr>
        <w:t>9</w:t>
      </w:r>
      <w:r>
        <w:rPr>
          <w:rFonts w:hint="eastAsia" w:ascii="宋体" w:hAnsi="宋体" w:cs="宋体"/>
          <w:kern w:val="0"/>
          <w:sz w:val="24"/>
        </w:rPr>
        <w:t>时</w:t>
      </w:r>
      <w:r>
        <w:rPr>
          <w:rFonts w:hint="eastAsia" w:ascii="宋体" w:hAnsi="宋体" w:cs="宋体"/>
          <w:kern w:val="0"/>
          <w:sz w:val="24"/>
          <w:u w:val="single"/>
        </w:rPr>
        <w:t>00</w:t>
      </w:r>
      <w:r>
        <w:rPr>
          <w:rFonts w:hint="eastAsia" w:ascii="宋体" w:hAnsi="宋体" w:cs="宋体"/>
          <w:kern w:val="0"/>
          <w:sz w:val="24"/>
        </w:rPr>
        <w:t>分起至</w:t>
      </w:r>
      <w:r>
        <w:rPr>
          <w:rFonts w:hint="eastAsia" w:ascii="宋体" w:hAnsi="宋体" w:cs="宋体"/>
          <w:kern w:val="0"/>
          <w:sz w:val="24"/>
          <w:u w:val="single"/>
        </w:rPr>
        <w:t>2018</w:t>
      </w:r>
      <w:r>
        <w:rPr>
          <w:rFonts w:hint="eastAsia" w:ascii="宋体" w:hAnsi="宋体" w:cs="宋体"/>
          <w:kern w:val="0"/>
          <w:sz w:val="24"/>
        </w:rPr>
        <w:t>年</w:t>
      </w:r>
      <w:r>
        <w:rPr>
          <w:rFonts w:hint="eastAsia" w:ascii="宋体" w:hAnsi="宋体" w:cs="宋体"/>
          <w:kern w:val="0"/>
          <w:sz w:val="24"/>
          <w:lang w:val="en-US" w:eastAsia="zh-CN"/>
        </w:rPr>
        <w:t xml:space="preserve">  </w:t>
      </w:r>
      <w:r>
        <w:rPr>
          <w:rFonts w:hint="eastAsia" w:ascii="宋体" w:hAnsi="宋体" w:cs="宋体"/>
          <w:kern w:val="0"/>
          <w:sz w:val="24"/>
        </w:rPr>
        <w:t>月</w:t>
      </w:r>
      <w:r>
        <w:rPr>
          <w:rFonts w:hint="eastAsia" w:ascii="宋体" w:hAnsi="宋体" w:cs="宋体"/>
          <w:kern w:val="0"/>
          <w:sz w:val="24"/>
          <w:lang w:val="en-US" w:eastAsia="zh-CN"/>
        </w:rPr>
        <w:t xml:space="preserve">  </w:t>
      </w:r>
      <w:r>
        <w:rPr>
          <w:rFonts w:hint="eastAsia" w:ascii="宋体" w:hAnsi="宋体" w:cs="宋体"/>
          <w:kern w:val="0"/>
          <w:sz w:val="24"/>
        </w:rPr>
        <w:t>日</w:t>
      </w:r>
      <w:r>
        <w:rPr>
          <w:rFonts w:hint="eastAsia" w:ascii="宋体" w:hAnsi="宋体" w:cs="宋体"/>
          <w:kern w:val="0"/>
          <w:sz w:val="24"/>
          <w:u w:val="single"/>
        </w:rPr>
        <w:t>17</w:t>
      </w:r>
      <w:r>
        <w:rPr>
          <w:rFonts w:hint="eastAsia" w:ascii="宋体" w:hAnsi="宋体" w:cs="宋体"/>
          <w:kern w:val="0"/>
          <w:sz w:val="24"/>
        </w:rPr>
        <w:t>时</w:t>
      </w:r>
      <w:r>
        <w:rPr>
          <w:rFonts w:hint="eastAsia" w:ascii="宋体" w:hAnsi="宋体" w:cs="宋体"/>
          <w:kern w:val="0"/>
          <w:sz w:val="24"/>
          <w:u w:val="single"/>
        </w:rPr>
        <w:t>00</w:t>
      </w:r>
      <w:r>
        <w:rPr>
          <w:rFonts w:hint="eastAsia" w:ascii="宋体" w:hAnsi="宋体" w:cs="宋体"/>
          <w:kern w:val="0"/>
          <w:sz w:val="24"/>
        </w:rPr>
        <w:t>分止，各投标人在项目报名日期期限内，可随时上网报名。</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sz w:val="24"/>
        </w:rPr>
        <w:t>4.3 供下载的招标文件有PDF和WORD版本时，若有不一致，以已备案的PDF版本招标文件为准。</w:t>
      </w:r>
    </w:p>
    <w:p>
      <w:pPr>
        <w:spacing w:line="360" w:lineRule="exact"/>
        <w:rPr>
          <w:rFonts w:ascii="宋体" w:hAnsi="宋体" w:cs="仿宋_GB2312"/>
          <w:b/>
          <w:bCs/>
          <w:sz w:val="24"/>
        </w:rPr>
      </w:pPr>
      <w:r>
        <w:rPr>
          <w:rFonts w:hint="eastAsia" w:ascii="宋体" w:hAnsi="宋体" w:cs="仿宋_GB2312"/>
          <w:b/>
          <w:bCs/>
          <w:sz w:val="24"/>
        </w:rPr>
        <w:t>5.投标担保金</w:t>
      </w:r>
    </w:p>
    <w:p>
      <w:pPr>
        <w:spacing w:line="360" w:lineRule="exact"/>
        <w:ind w:firstLine="480" w:firstLineChars="200"/>
        <w:rPr>
          <w:rFonts w:ascii="宋体" w:hAnsi="宋体" w:cs="仿宋_GB2312"/>
          <w:b/>
          <w:bCs/>
          <w:sz w:val="24"/>
        </w:rPr>
      </w:pPr>
      <w:r>
        <w:rPr>
          <w:rFonts w:ascii="宋体" w:hAnsi="宋体"/>
          <w:sz w:val="24"/>
        </w:rPr>
        <w:t>本</w:t>
      </w:r>
      <w:r>
        <w:rPr>
          <w:rFonts w:hint="eastAsia" w:ascii="宋体" w:hAnsi="宋体"/>
          <w:sz w:val="24"/>
        </w:rPr>
        <w:t>工程不</w:t>
      </w:r>
      <w:r>
        <w:rPr>
          <w:rFonts w:ascii="宋体" w:hAnsi="宋体"/>
          <w:sz w:val="24"/>
        </w:rPr>
        <w:t>要求提交投标保证金。</w:t>
      </w:r>
    </w:p>
    <w:p>
      <w:pPr>
        <w:spacing w:line="360" w:lineRule="exact"/>
        <w:rPr>
          <w:rFonts w:ascii="宋体" w:hAnsi="宋体" w:cs="仿宋_GB2312"/>
          <w:b/>
          <w:bCs/>
          <w:sz w:val="24"/>
        </w:rPr>
      </w:pPr>
      <w:r>
        <w:rPr>
          <w:rFonts w:hint="eastAsia" w:ascii="宋体" w:hAnsi="宋体" w:cs="仿宋_GB2312"/>
          <w:b/>
          <w:bCs/>
          <w:sz w:val="24"/>
        </w:rPr>
        <w:t>6.投标文件的递交</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6.1投标起止时间和开标时间</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6.1.1投标文件递交的起始时间： 2018年</w:t>
      </w:r>
      <w:r>
        <w:rPr>
          <w:rFonts w:hint="eastAsia" w:ascii="宋体" w:hAnsi="宋体" w:cs="仿宋_GB2312"/>
          <w:kern w:val="0"/>
          <w:sz w:val="24"/>
          <w:lang w:val="en-US" w:eastAsia="zh-CN"/>
        </w:rPr>
        <w:t xml:space="preserve">  </w:t>
      </w:r>
      <w:r>
        <w:rPr>
          <w:rFonts w:hint="eastAsia" w:ascii="宋体" w:hAnsi="宋体" w:cs="仿宋_GB2312"/>
          <w:kern w:val="0"/>
          <w:sz w:val="24"/>
        </w:rPr>
        <w:t>月</w:t>
      </w:r>
      <w:r>
        <w:rPr>
          <w:rFonts w:hint="eastAsia" w:ascii="宋体" w:hAnsi="宋体" w:cs="仿宋_GB2312"/>
          <w:kern w:val="0"/>
          <w:sz w:val="24"/>
          <w:lang w:val="en-US" w:eastAsia="zh-CN"/>
        </w:rPr>
        <w:t xml:space="preserve">  </w:t>
      </w:r>
      <w:r>
        <w:rPr>
          <w:rFonts w:hint="eastAsia" w:ascii="宋体" w:hAnsi="宋体" w:cs="仿宋_GB2312"/>
          <w:kern w:val="0"/>
          <w:sz w:val="24"/>
        </w:rPr>
        <w:t>日8时30分，截止时间：2018年月日9时30分。</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6.1.2开标时间：2018年 月</w:t>
      </w:r>
      <w:r>
        <w:rPr>
          <w:rFonts w:hint="eastAsia" w:ascii="宋体" w:hAnsi="宋体" w:cs="仿宋_GB2312"/>
          <w:kern w:val="0"/>
          <w:sz w:val="24"/>
          <w:lang w:val="en-US" w:eastAsia="zh-CN"/>
        </w:rPr>
        <w:t xml:space="preserve">  </w:t>
      </w:r>
      <w:r>
        <w:rPr>
          <w:rFonts w:hint="eastAsia" w:ascii="宋体" w:hAnsi="宋体" w:cs="仿宋_GB2312"/>
          <w:kern w:val="0"/>
          <w:sz w:val="24"/>
        </w:rPr>
        <w:t>日9时30分。</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6.1.3递交投标起止时间与开标时间是否有变化，请密切留意招标澄清（答疑）、补充、修改等文件中的相关信息。</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6.2 投标文件递交地址：投标人应于投标截止时间前将投标文件密封送达佛山市公共资源交易中心南海分中心指定开标室（地址：广东省佛山市南海区桂城街道桂澜北路8号三楼）。</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6.3投标人须按照《佛山市发展和改革局等六部门关于规范招投标市场秩序、遏制弄虚作假等违规行为的意见》（佛发改招〔2013〕11号）的要求，在投标文件首页签署《诚信投标承诺书》，由法定代表人签字并盖单位公章。对于拒签或不按要求签署承诺书的投标人，评标委员会将否决其投标。</w:t>
      </w:r>
    </w:p>
    <w:p>
      <w:pPr>
        <w:spacing w:line="360" w:lineRule="exact"/>
        <w:ind w:left="480" w:hanging="480" w:hangingChars="200"/>
        <w:rPr>
          <w:rFonts w:ascii="宋体" w:hAnsi="宋体" w:cs="仿宋_GB2312"/>
          <w:b/>
          <w:bCs/>
          <w:sz w:val="24"/>
        </w:rPr>
      </w:pPr>
      <w:r>
        <w:rPr>
          <w:rFonts w:hint="eastAsia" w:ascii="宋体" w:hAnsi="宋体" w:cs="仿宋_GB2312"/>
          <w:kern w:val="0"/>
          <w:sz w:val="24"/>
        </w:rPr>
        <w:t>6.4投标人应派授权代理人准时递交投标文件和出席开标会，授权代理人必须是已取得佛山市公共资源交易中心投标交易员资格的人员。递交投标文件和出席开标会时，授权代理人须携带身份证原件、法定代表人证明书和授权委托书核查。开标前将对授权代理人的身份证和取得交易员资格时采集的本人指纹进行当场验证，两种验证能通过其中任何一种即可；两种验证均不能通过的，招标人将退回其投标文件。</w:t>
      </w:r>
    </w:p>
    <w:p>
      <w:pPr>
        <w:spacing w:line="360" w:lineRule="exact"/>
        <w:rPr>
          <w:rFonts w:ascii="宋体" w:hAnsi="宋体" w:cs="仿宋_GB2312"/>
          <w:b/>
          <w:bCs/>
          <w:sz w:val="24"/>
        </w:rPr>
      </w:pPr>
      <w:r>
        <w:rPr>
          <w:rFonts w:hint="eastAsia" w:ascii="宋体" w:hAnsi="宋体" w:cs="仿宋_GB2312"/>
          <w:b/>
          <w:bCs/>
          <w:sz w:val="24"/>
        </w:rPr>
        <w:t>7.确认</w:t>
      </w:r>
    </w:p>
    <w:p>
      <w:pPr>
        <w:spacing w:line="360" w:lineRule="exact"/>
        <w:ind w:firstLine="480" w:firstLineChars="200"/>
        <w:rPr>
          <w:rFonts w:ascii="宋体" w:hAnsi="宋体" w:cs="仿宋_GB2312"/>
          <w:b/>
          <w:bCs/>
          <w:sz w:val="24"/>
        </w:rPr>
      </w:pPr>
      <w:r>
        <w:rPr>
          <w:rFonts w:hint="eastAsia"/>
          <w:sz w:val="24"/>
        </w:rPr>
        <w:t>你单位收到本投标邀请书后，请于以传真或快递方式予以确认。</w:t>
      </w:r>
    </w:p>
    <w:p>
      <w:pPr>
        <w:spacing w:line="360" w:lineRule="exact"/>
        <w:rPr>
          <w:rFonts w:ascii="宋体" w:hAnsi="宋体" w:cs="仿宋_GB2312"/>
          <w:b/>
          <w:bCs/>
          <w:sz w:val="24"/>
        </w:rPr>
      </w:pPr>
      <w:r>
        <w:rPr>
          <w:rFonts w:hint="eastAsia" w:ascii="宋体" w:hAnsi="宋体" w:cs="仿宋_GB2312"/>
          <w:b/>
          <w:bCs/>
          <w:sz w:val="24"/>
        </w:rPr>
        <w:t>8.异议与投诉</w:t>
      </w:r>
    </w:p>
    <w:p>
      <w:pPr>
        <w:spacing w:line="360" w:lineRule="exact"/>
        <w:ind w:left="480" w:hanging="480" w:hangingChars="200"/>
        <w:rPr>
          <w:rFonts w:ascii="宋体" w:hAnsi="宋体" w:cs="仿宋_GB2312"/>
          <w:bCs/>
          <w:sz w:val="24"/>
        </w:rPr>
      </w:pPr>
      <w:r>
        <w:rPr>
          <w:rFonts w:hint="eastAsia" w:ascii="宋体" w:hAnsi="宋体" w:cs="仿宋_GB2312"/>
          <w:bCs/>
          <w:sz w:val="24"/>
        </w:rPr>
        <w:t>8.1 根据《中华人民共和国招标投标法实施条例》第二十二条，潜在投标人或其他利害关系人认为本公告及招标文件的内容违法违规或不公平、不公正，损害其利益的，可以向招标人提出异议（异议应当在投标截止时间10日前提出）。对招标人答复不满意或者招标人未在规定的时间内作出答复的，可以自知道或应当知道之日起10日内向行政监督部门实名投诉。</w:t>
      </w:r>
    </w:p>
    <w:p>
      <w:pPr>
        <w:spacing w:line="360" w:lineRule="exact"/>
        <w:ind w:left="480" w:hanging="480" w:hangingChars="200"/>
        <w:rPr>
          <w:rFonts w:ascii="宋体" w:hAnsi="宋体" w:cs="仿宋_GB2312"/>
          <w:bCs/>
          <w:sz w:val="24"/>
        </w:rPr>
      </w:pPr>
      <w:r>
        <w:rPr>
          <w:rFonts w:hint="eastAsia" w:ascii="宋体" w:hAnsi="宋体" w:cs="仿宋_GB2312"/>
          <w:bCs/>
          <w:sz w:val="24"/>
        </w:rPr>
        <w:t>8.2 潜在投标人或其他利害关系人应当充分重视异议、投诉提出的时限，避免异议权、投诉权因时效原因而灭失。</w:t>
      </w:r>
    </w:p>
    <w:p>
      <w:pPr>
        <w:spacing w:line="360" w:lineRule="exact"/>
        <w:rPr>
          <w:rFonts w:ascii="宋体" w:hAnsi="宋体" w:cs="仿宋_GB2312"/>
          <w:b/>
          <w:bCs/>
          <w:sz w:val="24"/>
        </w:rPr>
      </w:pPr>
    </w:p>
    <w:p>
      <w:pPr>
        <w:spacing w:line="360" w:lineRule="exact"/>
        <w:rPr>
          <w:rFonts w:ascii="宋体" w:hAnsi="宋体" w:cs="仿宋_GB2312"/>
          <w:b/>
          <w:bCs/>
          <w:sz w:val="24"/>
        </w:rPr>
      </w:pPr>
      <w:r>
        <w:rPr>
          <w:rFonts w:hint="eastAsia" w:ascii="宋体" w:hAnsi="宋体" w:cs="仿宋_GB2312"/>
          <w:b/>
          <w:bCs/>
          <w:sz w:val="24"/>
        </w:rPr>
        <w:t>9.其他</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kern w:val="0"/>
          <w:sz w:val="24"/>
        </w:rPr>
        <w:t>9.1 投标人应保证其提供的联系方式（包括电话、传真、电子邮箱及联系人的手机号码等）一直有效，以保证有关函件（如投标截止时间通知、补遗书、澄清通知等）能及时通知投标人，并能及时反馈信息。否则，由此引起的一切后果由投标人自行承担。</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kern w:val="0"/>
          <w:sz w:val="24"/>
        </w:rPr>
        <w:t>9.2本次招标办理投标报名手续并购买招标文件的投标人不足3人，或投标截止时间止递交有效投标文件的投标人或通过资格审查的合格投标人不足3人时，招标人将依法重新组织招标。</w:t>
      </w:r>
    </w:p>
    <w:p>
      <w:pPr>
        <w:spacing w:line="360" w:lineRule="exact"/>
        <w:ind w:left="600" w:hanging="600" w:hangingChars="250"/>
        <w:textAlignment w:val="baseline"/>
        <w:rPr>
          <w:rFonts w:ascii="宋体" w:hAnsi="宋体" w:cs="仿宋_GB2312"/>
          <w:kern w:val="0"/>
          <w:sz w:val="24"/>
        </w:rPr>
      </w:pPr>
      <w:r>
        <w:rPr>
          <w:rFonts w:hint="eastAsia" w:ascii="宋体" w:hAnsi="宋体" w:cs="仿宋_GB2312"/>
          <w:kern w:val="0"/>
          <w:sz w:val="24"/>
        </w:rPr>
        <w:t>9.3 投标人授权代理人须具有交易员资格。</w:t>
      </w:r>
    </w:p>
    <w:p>
      <w:pPr>
        <w:spacing w:line="360" w:lineRule="exact"/>
        <w:ind w:left="600" w:hanging="600" w:hangingChars="250"/>
        <w:textAlignment w:val="baseline"/>
        <w:rPr>
          <w:rFonts w:ascii="宋体" w:hAnsi="宋体" w:cs="仿宋_GB2312"/>
          <w:kern w:val="0"/>
          <w:sz w:val="24"/>
        </w:rPr>
      </w:pPr>
      <w:r>
        <w:rPr>
          <w:rFonts w:hint="eastAsia" w:ascii="宋体" w:hAnsi="宋体" w:cs="仿宋_GB2312"/>
          <w:kern w:val="0"/>
          <w:sz w:val="24"/>
        </w:rPr>
        <w:t>9.4 本次招标采用的评定标办法是经评审的最低价法。</w:t>
      </w:r>
    </w:p>
    <w:p>
      <w:pPr>
        <w:spacing w:line="360" w:lineRule="exact"/>
        <w:rPr>
          <w:rFonts w:ascii="宋体" w:hAnsi="宋体" w:cs="仿宋_GB2312"/>
          <w:b/>
          <w:bCs/>
          <w:sz w:val="24"/>
        </w:rPr>
      </w:pPr>
      <w:r>
        <w:rPr>
          <w:rFonts w:hint="eastAsia" w:ascii="宋体" w:hAnsi="宋体" w:cs="仿宋_GB2312"/>
          <w:b/>
          <w:bCs/>
          <w:sz w:val="24"/>
        </w:rPr>
        <w:t>10.联系方式</w:t>
      </w:r>
    </w:p>
    <w:p>
      <w:pPr>
        <w:pStyle w:val="365"/>
        <w:widowControl w:val="0"/>
        <w:spacing w:line="360" w:lineRule="exact"/>
        <w:ind w:left="6948" w:leftChars="-6" w:hanging="6960" w:hangingChars="2900"/>
        <w:rPr>
          <w:rFonts w:ascii="宋体" w:hAnsi="宋体" w:cs="仿宋_GB2312"/>
          <w:sz w:val="24"/>
          <w:szCs w:val="24"/>
          <w:u w:val="single"/>
        </w:rPr>
      </w:pPr>
      <w:r>
        <w:rPr>
          <w:rFonts w:hint="eastAsia" w:ascii="宋体" w:hAnsi="宋体" w:cs="仿宋_GB2312"/>
          <w:sz w:val="24"/>
          <w:szCs w:val="24"/>
        </w:rPr>
        <w:t>招 标 人：</w:t>
      </w:r>
      <w:r>
        <w:rPr>
          <w:rFonts w:hint="eastAsia" w:ascii="宋体" w:hAnsi="宋体"/>
          <w:sz w:val="24"/>
          <w:u w:val="single"/>
        </w:rPr>
        <w:t>佛山市南海恒德胜嘉置业有限公司</w:t>
      </w:r>
      <w:r>
        <w:rPr>
          <w:rFonts w:hint="eastAsia" w:ascii="宋体" w:hAnsi="宋体" w:cs="仿宋_GB2312"/>
          <w:sz w:val="24"/>
          <w:szCs w:val="24"/>
        </w:rPr>
        <w:t xml:space="preserve"> 招标代理机构：</w:t>
      </w:r>
      <w:r>
        <w:rPr>
          <w:rFonts w:hint="eastAsia" w:ascii="宋体" w:hAnsi="宋体"/>
          <w:sz w:val="24"/>
          <w:u w:val="single"/>
        </w:rPr>
        <w:t>广东创南工程管理有限公司</w:t>
      </w:r>
    </w:p>
    <w:p>
      <w:pPr>
        <w:pStyle w:val="365"/>
        <w:widowControl w:val="0"/>
        <w:spacing w:line="360" w:lineRule="exact"/>
        <w:ind w:left="5544" w:leftChars="0" w:hanging="5544" w:hangingChars="2310"/>
        <w:rPr>
          <w:rFonts w:ascii="宋体" w:hAnsi="宋体" w:cs="仿宋_GB2312"/>
          <w:sz w:val="24"/>
          <w:szCs w:val="24"/>
          <w:u w:val="single"/>
        </w:rPr>
      </w:pPr>
      <w:r>
        <w:rPr>
          <w:rFonts w:hint="eastAsia" w:ascii="宋体" w:hAnsi="宋体" w:cs="仿宋_GB2312"/>
          <w:sz w:val="24"/>
          <w:szCs w:val="24"/>
        </w:rPr>
        <w:t>地    址：</w:t>
      </w:r>
      <w:r>
        <w:rPr>
          <w:rFonts w:hint="eastAsia" w:ascii="宋体" w:hAnsi="宋体" w:cs="仿宋_GB2312"/>
          <w:sz w:val="24"/>
          <w:szCs w:val="24"/>
          <w:u w:val="single"/>
        </w:rPr>
        <w:t>佛山市南海区禅炭路232号</w:t>
      </w:r>
      <w:r>
        <w:rPr>
          <w:rFonts w:hint="eastAsia" w:ascii="宋体" w:hAnsi="宋体" w:cs="仿宋_GB2312"/>
          <w:sz w:val="24"/>
          <w:szCs w:val="24"/>
        </w:rPr>
        <w:t xml:space="preserve">    地    址：</w:t>
      </w:r>
      <w:r>
        <w:rPr>
          <w:rFonts w:hint="eastAsia" w:ascii="宋体" w:hAnsi="宋体"/>
          <w:sz w:val="24"/>
          <w:u w:val="single"/>
        </w:rPr>
        <w:t>佛山市南海区桂城天安数码城天佑创富大厦A座1013室</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邮    编：</w:t>
      </w:r>
      <w:r>
        <w:rPr>
          <w:rFonts w:hint="eastAsia" w:ascii="宋体" w:hAnsi="宋体" w:cs="仿宋_GB2312"/>
          <w:sz w:val="24"/>
          <w:szCs w:val="24"/>
          <w:u w:val="single"/>
        </w:rPr>
        <w:t xml:space="preserve">   /   </w:t>
      </w:r>
      <w:r>
        <w:rPr>
          <w:rFonts w:hint="eastAsia" w:ascii="宋体" w:hAnsi="宋体" w:cs="仿宋_GB2312"/>
          <w:sz w:val="24"/>
          <w:szCs w:val="24"/>
        </w:rPr>
        <w:t xml:space="preserve">                     邮    编：</w:t>
      </w:r>
      <w:r>
        <w:rPr>
          <w:rFonts w:ascii="宋体" w:hAnsi="宋体" w:cs="仿宋_GB2312"/>
          <w:sz w:val="24"/>
          <w:szCs w:val="24"/>
          <w:u w:val="single"/>
        </w:rPr>
        <w:t>528000</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联 系 人：</w:t>
      </w:r>
      <w:r>
        <w:rPr>
          <w:rFonts w:hint="eastAsia" w:ascii="宋体" w:hAnsi="宋体"/>
          <w:sz w:val="24"/>
          <w:u w:val="single"/>
        </w:rPr>
        <w:t>陈湛斌</w:t>
      </w:r>
      <w:r>
        <w:rPr>
          <w:rFonts w:hint="eastAsia" w:ascii="宋体" w:hAnsi="宋体" w:cs="仿宋_GB2312"/>
          <w:sz w:val="24"/>
          <w:szCs w:val="24"/>
        </w:rPr>
        <w:t xml:space="preserve">                      联 系 人：</w:t>
      </w:r>
      <w:r>
        <w:rPr>
          <w:rFonts w:hint="eastAsia" w:ascii="宋体" w:hAnsi="宋体" w:cs="仿宋_GB2312"/>
          <w:sz w:val="24"/>
          <w:szCs w:val="24"/>
          <w:u w:val="single"/>
          <w:lang w:eastAsia="zh-CN"/>
        </w:rPr>
        <w:t>招标造价事业部</w:t>
      </w:r>
      <w:r>
        <w:rPr>
          <w:rFonts w:hint="eastAsia" w:ascii="宋体" w:hAnsi="宋体" w:cs="仿宋_GB2312"/>
          <w:sz w:val="24"/>
          <w:szCs w:val="24"/>
          <w:u w:val="single"/>
        </w:rPr>
        <w:t>麦炽坤</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电    话： 13590560755                电    话：</w:t>
      </w:r>
      <w:r>
        <w:rPr>
          <w:rFonts w:hint="eastAsia" w:ascii="宋体" w:hAnsi="宋体"/>
          <w:sz w:val="24"/>
          <w:u w:val="single"/>
        </w:rPr>
        <w:t>0757-</w:t>
      </w:r>
      <w:r>
        <w:rPr>
          <w:rFonts w:hint="eastAsia" w:ascii="宋体" w:hAnsi="宋体" w:cs="仿宋_GB2312"/>
          <w:sz w:val="24"/>
          <w:u w:val="single"/>
        </w:rPr>
        <w:t>86253386</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传    真：</w:t>
      </w:r>
      <w:r>
        <w:rPr>
          <w:rFonts w:hint="eastAsia" w:ascii="宋体" w:hAnsi="宋体"/>
          <w:sz w:val="24"/>
          <w:u w:val="single"/>
        </w:rPr>
        <w:t>/</w:t>
      </w:r>
      <w:r>
        <w:rPr>
          <w:rFonts w:hint="eastAsia" w:ascii="宋体" w:hAnsi="宋体" w:cs="仿宋_GB2312"/>
          <w:sz w:val="24"/>
          <w:szCs w:val="24"/>
        </w:rPr>
        <w:t xml:space="preserve">    </w:t>
      </w:r>
      <w:r>
        <w:rPr>
          <w:rFonts w:hint="eastAsia" w:ascii="宋体" w:hAnsi="宋体" w:cs="仿宋_GB2312"/>
          <w:sz w:val="24"/>
          <w:szCs w:val="24"/>
          <w:lang w:val="en-US" w:eastAsia="zh-CN"/>
        </w:rPr>
        <w:t xml:space="preserve">                       </w:t>
      </w:r>
      <w:r>
        <w:rPr>
          <w:rFonts w:hint="eastAsia" w:ascii="宋体" w:hAnsi="宋体" w:cs="仿宋_GB2312"/>
          <w:sz w:val="24"/>
          <w:szCs w:val="24"/>
        </w:rPr>
        <w:t>传    真：</w:t>
      </w:r>
      <w:r>
        <w:rPr>
          <w:rFonts w:hint="eastAsia" w:ascii="宋体" w:hAnsi="宋体"/>
          <w:sz w:val="24"/>
          <w:u w:val="single"/>
        </w:rPr>
        <w:t>0757-86316628</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电子邮件：</w:t>
      </w:r>
      <w:r>
        <w:rPr>
          <w:rFonts w:hint="eastAsia" w:ascii="宋体" w:hAnsi="宋体"/>
          <w:sz w:val="24"/>
          <w:u w:val="single"/>
        </w:rPr>
        <w:t>/</w:t>
      </w:r>
      <w:r>
        <w:rPr>
          <w:rFonts w:hint="eastAsia" w:ascii="宋体" w:hAnsi="宋体" w:cs="仿宋_GB2312"/>
          <w:sz w:val="24"/>
          <w:szCs w:val="24"/>
        </w:rPr>
        <w:t xml:space="preserve">    </w:t>
      </w:r>
      <w:r>
        <w:rPr>
          <w:rFonts w:hint="eastAsia" w:ascii="宋体" w:hAnsi="宋体" w:cs="仿宋_GB2312"/>
          <w:sz w:val="24"/>
          <w:szCs w:val="24"/>
          <w:lang w:val="en-US" w:eastAsia="zh-CN"/>
        </w:rPr>
        <w:t xml:space="preserve">                       </w:t>
      </w:r>
      <w:r>
        <w:rPr>
          <w:rFonts w:hint="eastAsia" w:ascii="宋体" w:hAnsi="宋体" w:cs="仿宋_GB2312"/>
          <w:sz w:val="24"/>
          <w:szCs w:val="24"/>
        </w:rPr>
        <w:t>电子邮件：</w:t>
      </w:r>
      <w:r>
        <w:rPr>
          <w:rFonts w:hint="eastAsia" w:ascii="宋体" w:hAnsi="宋体" w:cs="仿宋_GB2312"/>
          <w:sz w:val="24"/>
          <w:u w:val="single"/>
        </w:rPr>
        <w:t>chuangnanzj@163.com</w:t>
      </w:r>
    </w:p>
    <w:p>
      <w:pPr>
        <w:pStyle w:val="365"/>
        <w:widowControl w:val="0"/>
        <w:spacing w:line="360" w:lineRule="exact"/>
        <w:ind w:right="120" w:firstLine="437"/>
        <w:jc w:val="right"/>
        <w:rPr>
          <w:rFonts w:ascii="宋体" w:hAnsi="宋体" w:cs="仿宋_GB2312"/>
          <w:sz w:val="24"/>
          <w:szCs w:val="24"/>
          <w:u w:val="single"/>
        </w:rPr>
      </w:pPr>
    </w:p>
    <w:p>
      <w:pPr>
        <w:pStyle w:val="365"/>
        <w:widowControl w:val="0"/>
        <w:spacing w:line="360" w:lineRule="exact"/>
        <w:ind w:right="120" w:firstLine="437"/>
        <w:jc w:val="right"/>
        <w:rPr>
          <w:rFonts w:ascii="宋体" w:hAnsi="宋体" w:cs="仿宋_GB2312"/>
          <w:sz w:val="24"/>
          <w:szCs w:val="24"/>
          <w:u w:val="single"/>
        </w:rPr>
      </w:pPr>
    </w:p>
    <w:p>
      <w:pPr>
        <w:pStyle w:val="365"/>
        <w:widowControl w:val="0"/>
        <w:spacing w:line="360" w:lineRule="exact"/>
        <w:ind w:right="120" w:firstLine="437"/>
        <w:jc w:val="right"/>
        <w:rPr>
          <w:rFonts w:ascii="宋体" w:hAnsi="宋体" w:cs="仿宋_GB2312"/>
        </w:rPr>
      </w:pPr>
      <w:r>
        <w:rPr>
          <w:rFonts w:hint="eastAsia" w:ascii="宋体" w:hAnsi="宋体" w:cs="仿宋_GB2312"/>
          <w:sz w:val="24"/>
          <w:szCs w:val="24"/>
          <w:u w:val="single"/>
        </w:rPr>
        <w:t>2018</w:t>
      </w:r>
      <w:r>
        <w:rPr>
          <w:rFonts w:hint="eastAsia" w:ascii="宋体" w:hAnsi="宋体" w:cs="仿宋_GB2312"/>
          <w:sz w:val="24"/>
          <w:szCs w:val="24"/>
        </w:rPr>
        <w:t>年</w:t>
      </w:r>
      <w:r>
        <w:rPr>
          <w:rFonts w:hint="eastAsia" w:ascii="宋体" w:hAnsi="宋体" w:cs="仿宋_GB2312"/>
          <w:sz w:val="24"/>
          <w:szCs w:val="24"/>
          <w:lang w:val="en-US" w:eastAsia="zh-CN"/>
        </w:rPr>
        <w:t xml:space="preserve">  </w:t>
      </w:r>
      <w:r>
        <w:rPr>
          <w:rFonts w:hint="eastAsia" w:ascii="宋体" w:hAnsi="宋体" w:cs="仿宋_GB2312"/>
          <w:sz w:val="24"/>
          <w:szCs w:val="24"/>
        </w:rPr>
        <w:t>月</w:t>
      </w:r>
      <w:r>
        <w:rPr>
          <w:rFonts w:hint="eastAsia" w:ascii="宋体" w:hAnsi="宋体" w:cs="仿宋_GB2312"/>
          <w:sz w:val="24"/>
          <w:szCs w:val="24"/>
          <w:lang w:val="en-US" w:eastAsia="zh-CN"/>
        </w:rPr>
        <w:t xml:space="preserve">  </w:t>
      </w:r>
      <w:r>
        <w:rPr>
          <w:rFonts w:hint="eastAsia" w:ascii="宋体" w:hAnsi="宋体" w:cs="仿宋_GB2312"/>
          <w:sz w:val="24"/>
          <w:szCs w:val="24"/>
        </w:rPr>
        <w:t>日</w:t>
      </w:r>
    </w:p>
    <w:p>
      <w:pPr>
        <w:spacing w:line="440" w:lineRule="exact"/>
      </w:pPr>
      <w:r>
        <w:br w:type="page"/>
      </w:r>
    </w:p>
    <w:p>
      <w:pPr>
        <w:pStyle w:val="2"/>
        <w:spacing w:before="120" w:after="120" w:line="400" w:lineRule="exact"/>
        <w:jc w:val="center"/>
        <w:rPr>
          <w:rFonts w:ascii="黑体" w:hAnsi="黑体" w:eastAsia="黑体"/>
          <w:b w:val="0"/>
          <w:bCs w:val="0"/>
          <w:sz w:val="32"/>
        </w:rPr>
      </w:pPr>
      <w:bookmarkStart w:id="11" w:name="_Toc152042303"/>
      <w:bookmarkStart w:id="12" w:name="_Toc144974495"/>
      <w:bookmarkStart w:id="13" w:name="_Toc152045527"/>
      <w:bookmarkStart w:id="14" w:name="_Toc359208418"/>
      <w:r>
        <w:rPr>
          <w:rFonts w:hint="eastAsia" w:ascii="黑体" w:hAnsi="黑体" w:eastAsia="黑体"/>
          <w:b w:val="0"/>
          <w:bCs w:val="0"/>
          <w:sz w:val="32"/>
        </w:rPr>
        <w:t>第二章 投标人须知</w:t>
      </w:r>
      <w:bookmarkEnd w:id="11"/>
      <w:bookmarkEnd w:id="12"/>
      <w:bookmarkEnd w:id="13"/>
      <w:bookmarkEnd w:id="14"/>
    </w:p>
    <w:p>
      <w:pPr>
        <w:spacing w:line="400" w:lineRule="exact"/>
      </w:pPr>
    </w:p>
    <w:p>
      <w:pPr>
        <w:pStyle w:val="387"/>
      </w:pPr>
      <w:bookmarkStart w:id="15" w:name="_Toc144974496"/>
      <w:bookmarkStart w:id="16" w:name="_Toc152042304"/>
      <w:bookmarkStart w:id="17" w:name="_Toc152045528"/>
      <w:bookmarkStart w:id="18" w:name="_Toc359208419"/>
      <w:r>
        <w:rPr>
          <w:rFonts w:hint="eastAsia"/>
        </w:rPr>
        <w:t>投标人须知前附表</w:t>
      </w:r>
      <w:bookmarkEnd w:id="15"/>
      <w:bookmarkEnd w:id="16"/>
      <w:bookmarkEnd w:id="17"/>
      <w:bookmarkEnd w:id="18"/>
    </w:p>
    <w:p>
      <w:pPr>
        <w:adjustRightInd w:val="0"/>
        <w:spacing w:line="440" w:lineRule="exact"/>
        <w:textAlignment w:val="baseline"/>
      </w:pPr>
    </w:p>
    <w:tbl>
      <w:tblPr>
        <w:tblStyle w:val="92"/>
        <w:tblW w:w="10081" w:type="dxa"/>
        <w:tblInd w:w="-252" w:type="dxa"/>
        <w:tblLayout w:type="fixed"/>
        <w:tblCellMar>
          <w:top w:w="0" w:type="dxa"/>
          <w:left w:w="108" w:type="dxa"/>
          <w:bottom w:w="0" w:type="dxa"/>
          <w:right w:w="108" w:type="dxa"/>
        </w:tblCellMar>
      </w:tblPr>
      <w:tblGrid>
        <w:gridCol w:w="1080"/>
        <w:gridCol w:w="2160"/>
        <w:gridCol w:w="6841"/>
      </w:tblGrid>
      <w:tr>
        <w:tblPrEx>
          <w:tblLayout w:type="fixed"/>
          <w:tblCellMar>
            <w:top w:w="0" w:type="dxa"/>
            <w:left w:w="108" w:type="dxa"/>
            <w:bottom w:w="0" w:type="dxa"/>
            <w:right w:w="108" w:type="dxa"/>
          </w:tblCellMar>
        </w:tblPrEx>
        <w:trPr>
          <w:tblHeader/>
        </w:trPr>
        <w:tc>
          <w:tcPr>
            <w:tcW w:w="108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条款号</w:t>
            </w:r>
          </w:p>
        </w:tc>
        <w:tc>
          <w:tcPr>
            <w:tcW w:w="216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条  款  名  称</w:t>
            </w:r>
          </w:p>
        </w:tc>
        <w:tc>
          <w:tcPr>
            <w:tcW w:w="6841"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编  列  内  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名称：</w:t>
            </w:r>
            <w:r>
              <w:rPr>
                <w:rFonts w:hint="eastAsia" w:ascii="宋体" w:hAnsi="宋体"/>
                <w:sz w:val="24"/>
              </w:rPr>
              <w:t>佛山市南海恒德胜嘉置业有限公司</w:t>
            </w:r>
          </w:p>
          <w:p>
            <w:pPr>
              <w:spacing w:line="360" w:lineRule="exact"/>
              <w:rPr>
                <w:rFonts w:ascii="宋体" w:hAnsi="宋体"/>
                <w:sz w:val="24"/>
              </w:rPr>
            </w:pPr>
            <w:r>
              <w:rPr>
                <w:rFonts w:ascii="宋体" w:hAnsi="宋体"/>
                <w:sz w:val="24"/>
              </w:rPr>
              <w:t>地址：</w:t>
            </w:r>
            <w:r>
              <w:rPr>
                <w:rFonts w:hint="eastAsia" w:ascii="宋体" w:hAnsi="宋体"/>
                <w:sz w:val="24"/>
              </w:rPr>
              <w:t>佛山市南海区禅炭路232号</w:t>
            </w:r>
          </w:p>
          <w:p>
            <w:pPr>
              <w:spacing w:line="360" w:lineRule="exact"/>
              <w:rPr>
                <w:rFonts w:ascii="宋体" w:hAnsi="宋体"/>
                <w:color w:val="FF0000"/>
                <w:sz w:val="24"/>
                <w:u w:val="single"/>
              </w:rPr>
            </w:pPr>
            <w:r>
              <w:rPr>
                <w:rFonts w:ascii="宋体" w:hAnsi="宋体"/>
                <w:color w:val="FF0000"/>
                <w:sz w:val="24"/>
              </w:rPr>
              <w:t>联系人：</w:t>
            </w:r>
            <w:r>
              <w:rPr>
                <w:rFonts w:hint="eastAsia" w:ascii="宋体" w:hAnsi="宋体"/>
                <w:color w:val="FF0000"/>
                <w:sz w:val="24"/>
              </w:rPr>
              <w:t>陈湛斌</w:t>
            </w:r>
          </w:p>
          <w:p>
            <w:pPr>
              <w:spacing w:line="360" w:lineRule="exact"/>
              <w:rPr>
                <w:rFonts w:ascii="宋体" w:hAnsi="宋体"/>
                <w:sz w:val="24"/>
              </w:rPr>
            </w:pPr>
            <w:r>
              <w:rPr>
                <w:rFonts w:ascii="宋体" w:hAnsi="宋体"/>
                <w:color w:val="FF0000"/>
                <w:sz w:val="24"/>
              </w:rPr>
              <w:t>电话：</w:t>
            </w:r>
            <w:r>
              <w:rPr>
                <w:rFonts w:hint="eastAsia" w:ascii="宋体" w:hAnsi="宋体"/>
                <w:color w:val="FF0000"/>
                <w:sz w:val="24"/>
              </w:rPr>
              <w:t>13590560755</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招标代理机构</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名称：</w:t>
            </w:r>
            <w:r>
              <w:rPr>
                <w:rFonts w:hint="eastAsia" w:ascii="宋体" w:hAnsi="宋体"/>
                <w:sz w:val="24"/>
              </w:rPr>
              <w:t>广东创南工程管理有限公司</w:t>
            </w:r>
          </w:p>
          <w:p>
            <w:pPr>
              <w:spacing w:line="360" w:lineRule="exact"/>
              <w:rPr>
                <w:rFonts w:ascii="宋体" w:hAnsi="宋体"/>
                <w:sz w:val="24"/>
              </w:rPr>
            </w:pPr>
            <w:r>
              <w:rPr>
                <w:rFonts w:hint="eastAsia" w:ascii="宋体" w:hAnsi="宋体"/>
                <w:sz w:val="24"/>
              </w:rPr>
              <w:t>办公</w:t>
            </w:r>
            <w:r>
              <w:rPr>
                <w:rFonts w:ascii="宋体" w:hAnsi="宋体"/>
                <w:sz w:val="24"/>
              </w:rPr>
              <w:t>地址：</w:t>
            </w:r>
            <w:r>
              <w:rPr>
                <w:rFonts w:hint="eastAsia" w:ascii="宋体" w:hAnsi="宋体"/>
                <w:sz w:val="24"/>
              </w:rPr>
              <w:t>佛山市南海区桂城天安数码城天佑创富大厦A座1013室</w:t>
            </w:r>
          </w:p>
          <w:p>
            <w:pPr>
              <w:spacing w:line="360" w:lineRule="exact"/>
              <w:rPr>
                <w:rFonts w:ascii="宋体" w:hAnsi="宋体"/>
                <w:sz w:val="24"/>
              </w:rPr>
            </w:pPr>
            <w:r>
              <w:rPr>
                <w:rFonts w:ascii="宋体" w:hAnsi="宋体"/>
                <w:sz w:val="24"/>
              </w:rPr>
              <w:t>联系人：</w:t>
            </w:r>
            <w:r>
              <w:rPr>
                <w:rFonts w:hint="eastAsia" w:ascii="宋体" w:hAnsi="宋体" w:cs="Wingdings 2"/>
                <w:kern w:val="0"/>
                <w:szCs w:val="21"/>
                <w:lang w:eastAsia="zh-CN"/>
              </w:rPr>
              <w:t>招标造价事业部</w:t>
            </w:r>
            <w:r>
              <w:rPr>
                <w:rFonts w:hint="eastAsia" w:ascii="宋体" w:hAnsi="宋体" w:cs="Wingdings 2"/>
                <w:kern w:val="0"/>
                <w:szCs w:val="21"/>
              </w:rPr>
              <w:t>麦炽坤</w:t>
            </w:r>
          </w:p>
          <w:p>
            <w:pPr>
              <w:spacing w:line="360" w:lineRule="exact"/>
              <w:rPr>
                <w:rFonts w:ascii="宋体" w:hAnsi="宋体"/>
                <w:sz w:val="24"/>
              </w:rPr>
            </w:pPr>
            <w:r>
              <w:rPr>
                <w:rFonts w:ascii="宋体" w:hAnsi="宋体"/>
                <w:sz w:val="24"/>
              </w:rPr>
              <w:t>电话：</w:t>
            </w:r>
            <w:r>
              <w:rPr>
                <w:rFonts w:hint="eastAsia" w:ascii="宋体" w:hAnsi="宋体"/>
                <w:sz w:val="24"/>
              </w:rPr>
              <w:t>0757-86253386</w:t>
            </w:r>
          </w:p>
          <w:p>
            <w:pPr>
              <w:spacing w:line="360" w:lineRule="exact"/>
              <w:rPr>
                <w:rFonts w:ascii="宋体" w:hAnsi="宋体"/>
                <w:sz w:val="24"/>
              </w:rPr>
            </w:pPr>
            <w:r>
              <w:rPr>
                <w:rFonts w:hint="eastAsia" w:ascii="宋体" w:hAnsi="宋体"/>
                <w:sz w:val="24"/>
              </w:rPr>
              <w:t>传真：</w:t>
            </w:r>
            <w:r>
              <w:rPr>
                <w:rFonts w:ascii="宋体" w:hAnsi="宋体"/>
                <w:sz w:val="24"/>
              </w:rPr>
              <w:t>0757-86316628</w:t>
            </w:r>
          </w:p>
          <w:p>
            <w:pPr>
              <w:spacing w:line="360" w:lineRule="exact"/>
              <w:rPr>
                <w:rFonts w:ascii="宋体" w:hAnsi="宋体"/>
                <w:sz w:val="24"/>
              </w:rPr>
            </w:pPr>
            <w:r>
              <w:rPr>
                <w:rFonts w:hint="eastAsia" w:ascii="宋体" w:hAnsi="宋体"/>
                <w:sz w:val="24"/>
              </w:rPr>
              <w:t>电子邮箱：</w:t>
            </w:r>
            <w:r>
              <w:rPr>
                <w:rFonts w:ascii="宋体" w:hAnsi="宋体"/>
                <w:sz w:val="24"/>
              </w:rPr>
              <w:t>chuangnanzj@163.com</w:t>
            </w:r>
          </w:p>
        </w:tc>
      </w:tr>
      <w:tr>
        <w:tblPrEx>
          <w:tblLayout w:type="fixed"/>
          <w:tblCellMar>
            <w:top w:w="0" w:type="dxa"/>
            <w:left w:w="108" w:type="dxa"/>
            <w:bottom w:w="0" w:type="dxa"/>
            <w:right w:w="108" w:type="dxa"/>
          </w:tblCellMar>
        </w:tblPrEx>
        <w:trPr>
          <w:trHeight w:val="346"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工程</w:t>
            </w:r>
            <w:r>
              <w:rPr>
                <w:rFonts w:ascii="宋体" w:hAnsi="宋体"/>
                <w:sz w:val="24"/>
              </w:rPr>
              <w:t>名称</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kern w:val="0"/>
                <w:sz w:val="24"/>
                <w:lang w:eastAsia="zh-CN"/>
              </w:rPr>
            </w:pPr>
            <w:r>
              <w:rPr>
                <w:rFonts w:hint="eastAsia" w:ascii="宋体" w:hAnsi="宋体" w:cs="宋体"/>
                <w:kern w:val="0"/>
                <w:sz w:val="24"/>
                <w:lang w:eastAsia="zh-CN"/>
              </w:rPr>
              <w:t>上林观湖苑幼儿园（第二次招标）</w:t>
            </w:r>
          </w:p>
        </w:tc>
      </w:tr>
      <w:tr>
        <w:tblPrEx>
          <w:tblLayout w:type="fixed"/>
          <w:tblCellMar>
            <w:top w:w="0" w:type="dxa"/>
            <w:left w:w="108" w:type="dxa"/>
            <w:bottom w:w="0" w:type="dxa"/>
            <w:right w:w="108" w:type="dxa"/>
          </w:tblCellMar>
        </w:tblPrEx>
        <w:trPr>
          <w:trHeight w:val="27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建设地点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佛山市南海区狮山镇官窑永安大道西232号。</w:t>
            </w:r>
          </w:p>
        </w:tc>
      </w:tr>
      <w:tr>
        <w:tblPrEx>
          <w:tblLayout w:type="fixed"/>
          <w:tblCellMar>
            <w:top w:w="0" w:type="dxa"/>
            <w:left w:w="108" w:type="dxa"/>
            <w:bottom w:w="0" w:type="dxa"/>
            <w:right w:w="108" w:type="dxa"/>
          </w:tblCellMar>
        </w:tblPrEx>
        <w:trPr>
          <w:trHeight w:val="36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资金来源</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自筹资金</w:t>
            </w:r>
          </w:p>
        </w:tc>
      </w:tr>
      <w:tr>
        <w:tblPrEx>
          <w:tblLayout w:type="fixed"/>
          <w:tblCellMar>
            <w:top w:w="0" w:type="dxa"/>
            <w:left w:w="108" w:type="dxa"/>
            <w:bottom w:w="0" w:type="dxa"/>
            <w:right w:w="108" w:type="dxa"/>
          </w:tblCellMar>
        </w:tblPrEx>
        <w:trPr>
          <w:trHeight w:val="31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出资比例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100%</w:t>
            </w:r>
          </w:p>
        </w:tc>
      </w:tr>
      <w:tr>
        <w:tblPrEx>
          <w:tblLayout w:type="fixed"/>
          <w:tblCellMar>
            <w:top w:w="0" w:type="dxa"/>
            <w:left w:w="108" w:type="dxa"/>
            <w:bottom w:w="0" w:type="dxa"/>
            <w:right w:w="108" w:type="dxa"/>
          </w:tblCellMar>
        </w:tblPrEx>
        <w:trPr>
          <w:trHeight w:val="30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资金</w:t>
            </w:r>
            <w:r>
              <w:rPr>
                <w:rFonts w:ascii="宋体" w:hAnsi="宋体"/>
                <w:sz w:val="24"/>
              </w:rPr>
              <w:t>落实情况</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已全部落实</w:t>
            </w:r>
          </w:p>
        </w:tc>
      </w:tr>
      <w:tr>
        <w:tblPrEx>
          <w:tblLayout w:type="fixed"/>
          <w:tblCellMar>
            <w:top w:w="0" w:type="dxa"/>
            <w:left w:w="108" w:type="dxa"/>
            <w:bottom w:w="0" w:type="dxa"/>
            <w:right w:w="108" w:type="dxa"/>
          </w:tblCellMar>
        </w:tblPrEx>
        <w:trPr>
          <w:trHeight w:val="45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w:t>
            </w:r>
            <w:r>
              <w:rPr>
                <w:rFonts w:hint="eastAsia" w:ascii="宋体" w:hAnsi="宋体"/>
                <w:sz w:val="24"/>
              </w:rPr>
              <w:t>3</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招标范围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kern w:val="0"/>
                <w:szCs w:val="21"/>
                <w:u w:val="single"/>
              </w:rPr>
            </w:pPr>
            <w:r>
              <w:rPr>
                <w:rFonts w:hint="eastAsia" w:ascii="宋体" w:hAnsi="宋体"/>
                <w:sz w:val="24"/>
              </w:rPr>
              <w:t>主要建设内容为施工图纸施工范围及招标文件范围内所包含的施工内容。</w:t>
            </w:r>
          </w:p>
        </w:tc>
      </w:tr>
      <w:tr>
        <w:tblPrEx>
          <w:tblLayout w:type="fixed"/>
          <w:tblCellMar>
            <w:top w:w="0" w:type="dxa"/>
            <w:left w:w="108" w:type="dxa"/>
            <w:bottom w:w="0" w:type="dxa"/>
            <w:right w:w="108" w:type="dxa"/>
          </w:tblCellMar>
        </w:tblPrEx>
        <w:trPr>
          <w:trHeight w:val="35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计划工期</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FF0000"/>
                <w:kern w:val="0"/>
                <w:sz w:val="24"/>
              </w:rPr>
            </w:pPr>
            <w:r>
              <w:rPr>
                <w:rFonts w:hint="eastAsia" w:ascii="宋体" w:hAnsi="宋体" w:cs="宋体"/>
                <w:color w:val="FF0000"/>
                <w:kern w:val="0"/>
                <w:sz w:val="24"/>
              </w:rPr>
              <w:t>计划工期：</w:t>
            </w:r>
            <w:r>
              <w:rPr>
                <w:rFonts w:hint="eastAsia" w:ascii="宋体" w:hAnsi="宋体" w:cs="宋体"/>
                <w:color w:val="FF0000"/>
                <w:kern w:val="0"/>
                <w:sz w:val="24"/>
                <w:lang w:eastAsia="zh-CN"/>
              </w:rPr>
              <w:t>365</w:t>
            </w:r>
            <w:r>
              <w:rPr>
                <w:rFonts w:hint="eastAsia" w:ascii="宋体" w:hAnsi="宋体" w:cs="仿宋_GB2312"/>
                <w:color w:val="FF0000"/>
                <w:sz w:val="24"/>
                <w:u w:val="single"/>
              </w:rPr>
              <w:t>日历天</w:t>
            </w:r>
          </w:p>
          <w:p>
            <w:pPr>
              <w:spacing w:line="360" w:lineRule="exact"/>
              <w:rPr>
                <w:rFonts w:ascii="宋体" w:hAnsi="宋体"/>
                <w:sz w:val="24"/>
              </w:rPr>
            </w:pPr>
            <w:r>
              <w:rPr>
                <w:rFonts w:hint="eastAsia" w:ascii="宋体" w:hAnsi="宋体"/>
                <w:sz w:val="24"/>
              </w:rPr>
              <w:t>计划开工日期：2018年</w:t>
            </w:r>
            <w:r>
              <w:rPr>
                <w:rFonts w:hint="eastAsia" w:ascii="宋体" w:hAnsi="宋体"/>
                <w:sz w:val="24"/>
                <w:lang w:val="en-US" w:eastAsia="zh-CN"/>
              </w:rPr>
              <w:t>/</w:t>
            </w:r>
            <w:r>
              <w:rPr>
                <w:rFonts w:hint="eastAsia" w:ascii="宋体" w:hAnsi="宋体"/>
                <w:sz w:val="24"/>
              </w:rPr>
              <w:t>月</w:t>
            </w:r>
            <w:r>
              <w:rPr>
                <w:rFonts w:hint="eastAsia" w:ascii="宋体" w:hAnsi="宋体"/>
                <w:sz w:val="24"/>
                <w:lang w:val="en-US" w:eastAsia="zh-CN"/>
              </w:rPr>
              <w:t>/</w:t>
            </w:r>
            <w:r>
              <w:rPr>
                <w:rFonts w:hint="eastAsia" w:ascii="宋体" w:hAnsi="宋体"/>
                <w:sz w:val="24"/>
              </w:rPr>
              <w:t xml:space="preserve">日 </w:t>
            </w:r>
          </w:p>
          <w:p>
            <w:pPr>
              <w:spacing w:line="360" w:lineRule="exact"/>
              <w:rPr>
                <w:rFonts w:ascii="宋体" w:hAnsi="宋体"/>
                <w:sz w:val="24"/>
              </w:rPr>
            </w:pPr>
            <w:r>
              <w:rPr>
                <w:rFonts w:hint="eastAsia" w:ascii="宋体" w:hAnsi="宋体"/>
                <w:sz w:val="24"/>
              </w:rPr>
              <w:t>计划竣工日期：2019年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w:t>
            </w:r>
            <w:r>
              <w:rPr>
                <w:rFonts w:hint="eastAsia" w:ascii="宋体" w:hAnsi="宋体"/>
                <w:sz w:val="24"/>
              </w:rPr>
              <w:t>日</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1.3.3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承包方式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仿宋_GB2312"/>
                <w:sz w:val="24"/>
              </w:rPr>
            </w:pPr>
            <w:r>
              <w:rPr>
                <w:rFonts w:hint="eastAsia" w:ascii="宋体" w:hAnsi="宋体" w:cs="仿宋_GB2312"/>
                <w:sz w:val="24"/>
              </w:rPr>
              <w:t>包工、包料、包工期、包安全、包文明施工。</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w:t>
            </w:r>
            <w:r>
              <w:rPr>
                <w:rFonts w:hint="eastAsia" w:ascii="宋体" w:hAnsi="宋体" w:cs="仿宋_GB2312"/>
                <w:sz w:val="24"/>
              </w:rPr>
              <w:t xml:space="preserve">固定费率包干     </w:t>
            </w:r>
            <w:r>
              <w:rPr>
                <w:rFonts w:hint="eastAsia" w:ascii="宋体" w:hAnsi="宋体"/>
                <w:sz w:val="24"/>
                <w:bdr w:val="single" w:color="auto" w:sz="4" w:space="0"/>
              </w:rPr>
              <w:t>√</w:t>
            </w:r>
            <w:r>
              <w:rPr>
                <w:rFonts w:hint="eastAsia" w:ascii="宋体" w:hAnsi="宋体" w:cs="仿宋_GB2312"/>
                <w:sz w:val="24"/>
              </w:rPr>
              <w:t>固定总价包干</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1.3.</w:t>
            </w:r>
            <w:r>
              <w:rPr>
                <w:rFonts w:hint="eastAsia" w:ascii="宋体" w:hAnsi="宋体"/>
                <w:sz w:val="24"/>
              </w:rPr>
              <w:t>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质量要求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u w:val="single"/>
              </w:rPr>
            </w:pPr>
            <w:r>
              <w:rPr>
                <w:rFonts w:hint="eastAsia" w:ascii="宋体" w:hAnsi="宋体" w:cs="宋体"/>
                <w:kern w:val="0"/>
                <w:sz w:val="24"/>
              </w:rPr>
              <w:t>执行国家、省或行业现行的工程建设质量验收标准及规范，须达到</w:t>
            </w:r>
            <w:r>
              <w:rPr>
                <w:rFonts w:hint="eastAsia" w:ascii="宋体" w:hAnsi="宋体" w:cs="宋体"/>
                <w:kern w:val="0"/>
                <w:sz w:val="24"/>
                <w:u w:val="single"/>
              </w:rPr>
              <w:t xml:space="preserve">  合格或以上  </w:t>
            </w:r>
            <w:r>
              <w:rPr>
                <w:rFonts w:hint="eastAsia" w:ascii="宋体" w:hAnsi="宋体" w:cs="宋体"/>
                <w:kern w:val="0"/>
                <w:sz w:val="24"/>
              </w:rPr>
              <w:t>验收质量等级标准。</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1.3.5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安全、文明</w:t>
            </w:r>
          </w:p>
          <w:p>
            <w:pPr>
              <w:spacing w:line="360" w:lineRule="exact"/>
              <w:jc w:val="center"/>
              <w:rPr>
                <w:rFonts w:ascii="宋体" w:hAnsi="宋体"/>
                <w:sz w:val="24"/>
              </w:rPr>
            </w:pPr>
            <w:r>
              <w:rPr>
                <w:rFonts w:hint="eastAsia" w:ascii="宋体" w:hAnsi="宋体"/>
                <w:sz w:val="24"/>
              </w:rPr>
              <w:t>施工要求</w:t>
            </w:r>
          </w:p>
        </w:tc>
        <w:tc>
          <w:tcPr>
            <w:tcW w:w="6841" w:type="dxa"/>
            <w:tcBorders>
              <w:top w:val="single" w:color="auto" w:sz="4" w:space="0"/>
              <w:left w:val="single" w:color="auto" w:sz="4" w:space="0"/>
              <w:bottom w:val="single" w:color="auto" w:sz="4" w:space="0"/>
              <w:right w:val="single" w:color="auto" w:sz="4" w:space="0"/>
            </w:tcBorders>
          </w:tcPr>
          <w:p>
            <w:pPr>
              <w:tabs>
                <w:tab w:val="left" w:pos="612"/>
              </w:tabs>
              <w:spacing w:line="360" w:lineRule="exact"/>
              <w:rPr>
                <w:sz w:val="24"/>
              </w:rPr>
            </w:pPr>
            <w:r>
              <w:rPr>
                <w:rFonts w:hint="eastAsia"/>
                <w:sz w:val="24"/>
              </w:rPr>
              <w:t>符合国家、省、市安全生产、文明施工管理相关规定，承诺达到</w:t>
            </w:r>
          </w:p>
          <w:p>
            <w:pPr>
              <w:tabs>
                <w:tab w:val="left" w:pos="612"/>
              </w:tabs>
              <w:spacing w:line="360" w:lineRule="exact"/>
              <w:rPr>
                <w:sz w:val="24"/>
              </w:rPr>
            </w:pPr>
            <w:r>
              <w:rPr>
                <w:rFonts w:hint="eastAsia"/>
                <w:sz w:val="24"/>
                <w:u w:val="single"/>
                <w:lang w:eastAsia="zh-CN"/>
              </w:rPr>
              <w:t>合格</w:t>
            </w:r>
            <w:r>
              <w:rPr>
                <w:rFonts w:hint="eastAsia"/>
                <w:sz w:val="24"/>
                <w:u w:val="single"/>
              </w:rPr>
              <w:t>标准。</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1.4</w:t>
            </w:r>
            <w:r>
              <w:rPr>
                <w:rFonts w:hint="eastAsia"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w:t>
            </w:r>
            <w:r>
              <w:rPr>
                <w:rFonts w:hint="eastAsia" w:ascii="宋体" w:hAnsi="宋体"/>
                <w:sz w:val="24"/>
              </w:rPr>
              <w:t>资格要求</w:t>
            </w:r>
          </w:p>
        </w:tc>
        <w:tc>
          <w:tcPr>
            <w:tcW w:w="6841" w:type="dxa"/>
            <w:tcBorders>
              <w:top w:val="single" w:color="auto" w:sz="4" w:space="0"/>
              <w:left w:val="single" w:color="auto" w:sz="4" w:space="0"/>
              <w:bottom w:val="single" w:color="auto" w:sz="4" w:space="0"/>
              <w:right w:val="single" w:color="auto" w:sz="4" w:space="0"/>
            </w:tcBorders>
          </w:tcPr>
          <w:p>
            <w:pPr>
              <w:tabs>
                <w:tab w:val="left" w:pos="612"/>
              </w:tabs>
              <w:spacing w:line="360" w:lineRule="exact"/>
              <w:rPr>
                <w:rFonts w:ascii="宋体" w:hAnsi="宋体"/>
                <w:sz w:val="24"/>
              </w:rPr>
            </w:pPr>
            <w:r>
              <w:rPr>
                <w:rFonts w:hint="eastAsia" w:ascii="宋体" w:hAnsi="宋体"/>
                <w:sz w:val="24"/>
              </w:rPr>
              <w:t>详见本工程投标邀请书。</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1.4.2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是否接受联合体投标</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rPr>
            </w:pPr>
            <w:r>
              <w:rPr>
                <w:rFonts w:hint="eastAsia" w:ascii="宋体" w:hAnsi="宋体"/>
                <w:sz w:val="24"/>
                <w:bdr w:val="single" w:color="auto" w:sz="4" w:space="0"/>
              </w:rPr>
              <w:t>√</w:t>
            </w:r>
            <w:r>
              <w:rPr>
                <w:rFonts w:hint="eastAsia" w:ascii="宋体" w:hAnsi="宋体" w:cs="宋体"/>
                <w:kern w:val="0"/>
                <w:sz w:val="24"/>
              </w:rPr>
              <w:t>不接受</w:t>
            </w:r>
          </w:p>
          <w:p>
            <w:pPr>
              <w:spacing w:line="360" w:lineRule="exact"/>
              <w:rPr>
                <w:rFonts w:ascii="宋体" w:hAnsi="宋体" w:cs="宋体"/>
                <w:kern w:val="0"/>
                <w:sz w:val="24"/>
              </w:rPr>
            </w:pPr>
            <w:r>
              <w:rPr>
                <w:rFonts w:hint="eastAsia" w:ascii="宋体" w:hAnsi="宋体"/>
                <w:sz w:val="24"/>
                <w:bdr w:val="single" w:color="auto" w:sz="4" w:space="0"/>
              </w:rPr>
              <w:t xml:space="preserve">  </w:t>
            </w:r>
            <w:r>
              <w:rPr>
                <w:rFonts w:hint="eastAsia" w:ascii="宋体" w:hAnsi="宋体"/>
                <w:sz w:val="24"/>
              </w:rPr>
              <w:t xml:space="preserve"> </w:t>
            </w:r>
            <w:r>
              <w:rPr>
                <w:rFonts w:hint="eastAsia" w:ascii="宋体" w:hAnsi="宋体" w:cs="宋体"/>
                <w:kern w:val="0"/>
                <w:sz w:val="24"/>
              </w:rPr>
              <w:t>接受</w:t>
            </w:r>
            <w:r>
              <w:rPr>
                <w:rFonts w:hint="eastAsia" w:ascii="宋体" w:hAnsi="宋体"/>
                <w:sz w:val="24"/>
              </w:rPr>
              <w:t>，应满足下列要求：详见本工程招标公告</w:t>
            </w:r>
          </w:p>
        </w:tc>
      </w:tr>
      <w:tr>
        <w:tblPrEx>
          <w:tblLayout w:type="fixed"/>
          <w:tblCellMar>
            <w:top w:w="0" w:type="dxa"/>
            <w:left w:w="108" w:type="dxa"/>
            <w:bottom w:w="0" w:type="dxa"/>
            <w:right w:w="108" w:type="dxa"/>
          </w:tblCellMar>
        </w:tblPrEx>
        <w:trPr>
          <w:trHeight w:val="42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w:t>
            </w:r>
            <w:r>
              <w:rPr>
                <w:rFonts w:hint="eastAsia" w:ascii="宋体" w:hAnsi="宋体"/>
                <w:sz w:val="24"/>
              </w:rPr>
              <w:t>9</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踏勘</w:t>
            </w:r>
            <w:r>
              <w:rPr>
                <w:rFonts w:hint="eastAsia" w:ascii="宋体" w:hAnsi="宋体"/>
                <w:sz w:val="24"/>
              </w:rPr>
              <w:t>现场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不组织，由投标人自行踏勘。</w:t>
            </w:r>
          </w:p>
        </w:tc>
      </w:tr>
      <w:tr>
        <w:tblPrEx>
          <w:tblLayout w:type="fixed"/>
          <w:tblCellMar>
            <w:top w:w="0" w:type="dxa"/>
            <w:left w:w="108" w:type="dxa"/>
            <w:bottom w:w="0" w:type="dxa"/>
            <w:right w:w="108" w:type="dxa"/>
          </w:tblCellMar>
        </w:tblPrEx>
        <w:trPr>
          <w:trHeight w:val="44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1.10</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投标预备会</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不召开</w:t>
            </w:r>
          </w:p>
        </w:tc>
      </w:tr>
      <w:tr>
        <w:tblPrEx>
          <w:tblLayout w:type="fixed"/>
          <w:tblCellMar>
            <w:top w:w="0" w:type="dxa"/>
            <w:left w:w="108" w:type="dxa"/>
            <w:bottom w:w="0" w:type="dxa"/>
            <w:right w:w="108" w:type="dxa"/>
          </w:tblCellMar>
        </w:tblPrEx>
        <w:trPr>
          <w:trHeight w:val="46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分包</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允许，分包内容要求：</w:t>
            </w:r>
          </w:p>
          <w:p>
            <w:pPr>
              <w:spacing w:line="360" w:lineRule="exact"/>
              <w:ind w:firstLine="1080" w:firstLineChars="450"/>
              <w:rPr>
                <w:rFonts w:ascii="宋体" w:hAnsi="宋体"/>
                <w:sz w:val="24"/>
              </w:rPr>
            </w:pPr>
            <w:r>
              <w:rPr>
                <w:rFonts w:hint="eastAsia" w:ascii="宋体" w:hAnsi="宋体"/>
                <w:sz w:val="24"/>
              </w:rPr>
              <w:t>分包金额要求：</w:t>
            </w:r>
          </w:p>
          <w:p>
            <w:pPr>
              <w:spacing w:line="360" w:lineRule="exact"/>
              <w:ind w:firstLine="1080" w:firstLineChars="450"/>
              <w:rPr>
                <w:rFonts w:ascii="宋体" w:hAnsi="宋体"/>
                <w:sz w:val="24"/>
              </w:rPr>
            </w:pPr>
            <w:r>
              <w:rPr>
                <w:rFonts w:hint="eastAsia" w:ascii="宋体" w:hAnsi="宋体"/>
                <w:sz w:val="24"/>
              </w:rPr>
              <w:t>接受分包的第三人资质要求：</w:t>
            </w:r>
          </w:p>
        </w:tc>
      </w:tr>
      <w:tr>
        <w:tblPrEx>
          <w:tblLayout w:type="fixed"/>
          <w:tblCellMar>
            <w:top w:w="0" w:type="dxa"/>
            <w:left w:w="108" w:type="dxa"/>
            <w:bottom w:w="0" w:type="dxa"/>
            <w:right w:w="108" w:type="dxa"/>
          </w:tblCellMar>
        </w:tblPrEx>
        <w:trPr>
          <w:trHeight w:val="4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偏离</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允许，可偏离的项目和范围见第七章“技术标准和要求”；</w:t>
            </w:r>
          </w:p>
          <w:p>
            <w:pPr>
              <w:spacing w:line="360" w:lineRule="exact"/>
              <w:ind w:firstLine="1080" w:firstLineChars="450"/>
              <w:rPr>
                <w:rFonts w:ascii="宋体" w:hAnsi="宋体"/>
                <w:sz w:val="24"/>
              </w:rPr>
            </w:pPr>
            <w:r>
              <w:rPr>
                <w:rFonts w:hint="eastAsia" w:ascii="宋体" w:hAnsi="宋体"/>
                <w:sz w:val="24"/>
              </w:rPr>
              <w:t>允许偏离最高项数：</w:t>
            </w:r>
          </w:p>
          <w:p>
            <w:pPr>
              <w:spacing w:line="360" w:lineRule="exact"/>
              <w:ind w:firstLine="1080" w:firstLineChars="450"/>
              <w:rPr>
                <w:rFonts w:ascii="宋体" w:hAnsi="宋体"/>
                <w:sz w:val="24"/>
              </w:rPr>
            </w:pPr>
            <w:r>
              <w:rPr>
                <w:rFonts w:hint="eastAsia" w:ascii="宋体" w:hAnsi="宋体"/>
                <w:sz w:val="24"/>
              </w:rPr>
              <w:t>偏差调整方法：</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构成招标文件的其他材料</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澄清（答疑）、修改、补充通知。</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投标人要求澄清招标文件的截止时间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b/>
                <w:sz w:val="24"/>
              </w:rPr>
              <w:t>投标报名截止时间次日起3个日历天内</w:t>
            </w:r>
            <w:r>
              <w:rPr>
                <w:rFonts w:hint="eastAsia" w:ascii="宋体" w:hAnsi="宋体"/>
                <w:sz w:val="24"/>
              </w:rPr>
              <w:t>，</w:t>
            </w:r>
            <w:r>
              <w:rPr>
                <w:rFonts w:hint="eastAsia" w:ascii="宋体" w:cs="宋体"/>
                <w:b/>
                <w:kern w:val="0"/>
                <w:sz w:val="24"/>
              </w:rPr>
              <w:t>通过佛山市公共资源交易网提出</w:t>
            </w:r>
            <w:r>
              <w:rPr>
                <w:rFonts w:hint="eastAsia" w:ascii="宋体" w:hAnsi="宋体"/>
                <w:sz w:val="24"/>
              </w:rPr>
              <w:t>。</w:t>
            </w:r>
          </w:p>
        </w:tc>
      </w:tr>
      <w:tr>
        <w:tblPrEx>
          <w:tblLayout w:type="fixed"/>
          <w:tblCellMar>
            <w:top w:w="0" w:type="dxa"/>
            <w:left w:w="108" w:type="dxa"/>
            <w:bottom w:w="0" w:type="dxa"/>
            <w:right w:w="108" w:type="dxa"/>
          </w:tblCellMar>
        </w:tblPrEx>
        <w:trPr>
          <w:trHeight w:val="43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2.2.2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投标截止时间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u w:val="single"/>
              </w:rPr>
              <w:t>详见招标公告</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2.2.3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投标人确认收到澄清</w:t>
            </w:r>
            <w:r>
              <w:rPr>
                <w:rFonts w:hint="eastAsia" w:ascii="宋体" w:hAnsi="宋体"/>
                <w:sz w:val="24"/>
              </w:rPr>
              <w:t>（答疑）</w:t>
            </w:r>
            <w:r>
              <w:rPr>
                <w:rFonts w:ascii="宋体" w:hAnsi="宋体"/>
                <w:sz w:val="24"/>
              </w:rPr>
              <w:t>的时间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招标文件的澄清（答疑）、补充、修改文件一经在佛山市公共资源交易网发布，视作已发放给所有投标人，各投标人应随时关注报名项目信息，及时登陆佛山市公共资源交易网下载相关文件，否则所造成的一切后果由投标人自负。</w:t>
            </w:r>
          </w:p>
          <w:p>
            <w:pPr>
              <w:spacing w:line="360" w:lineRule="exact"/>
              <w:rPr>
                <w:rFonts w:ascii="宋体" w:hAnsi="宋体"/>
                <w:sz w:val="24"/>
              </w:rPr>
            </w:pPr>
            <w:r>
              <w:rPr>
                <w:rFonts w:hint="eastAsia" w:ascii="宋体" w:hAnsi="宋体"/>
                <w:sz w:val="24"/>
              </w:rPr>
              <w:t>2、澄清（答疑）、补充、修改文件须经公共资源交易管理机构备案后，方可在佛山市公共资源交易网发布。</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投标人确认收到修改</w:t>
            </w:r>
            <w:r>
              <w:rPr>
                <w:rFonts w:hint="eastAsia" w:ascii="宋体" w:hAnsi="宋体"/>
                <w:sz w:val="24"/>
              </w:rPr>
              <w:t>、补充</w:t>
            </w:r>
            <w:r>
              <w:rPr>
                <w:rFonts w:ascii="宋体" w:hAnsi="宋体"/>
                <w:sz w:val="24"/>
              </w:rPr>
              <w:t>的时间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招标文件的澄清（答疑）、补充、修改文件一经在佛山市公共资源交易网发布，视作已发放给所有投标人，各投标人应随时关注报名项目信息，及时登陆佛山市公共资源交易网下载相关文件，否则所造成的一切后果由投标人自负。</w:t>
            </w:r>
          </w:p>
        </w:tc>
      </w:tr>
      <w:tr>
        <w:tblPrEx>
          <w:tblLayout w:type="fixed"/>
          <w:tblCellMar>
            <w:top w:w="0" w:type="dxa"/>
            <w:left w:w="108" w:type="dxa"/>
            <w:bottom w:w="0" w:type="dxa"/>
            <w:right w:w="108" w:type="dxa"/>
          </w:tblCellMar>
        </w:tblPrEx>
        <w:trPr>
          <w:trHeight w:val="42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招标控制价</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b/>
                <w:color w:val="FF0000"/>
                <w:sz w:val="28"/>
                <w:szCs w:val="28"/>
              </w:rPr>
            </w:pPr>
            <w:r>
              <w:rPr>
                <w:rFonts w:hint="eastAsia" w:ascii="宋体" w:hAnsi="宋体"/>
                <w:b/>
                <w:color w:val="FF0000"/>
                <w:sz w:val="28"/>
                <w:szCs w:val="28"/>
              </w:rPr>
              <w:t>招标预算价金额:4753830.00元。</w:t>
            </w:r>
          </w:p>
          <w:p>
            <w:pPr>
              <w:spacing w:line="360" w:lineRule="exact"/>
              <w:rPr>
                <w:rFonts w:ascii="宋体" w:hAnsi="宋体"/>
                <w:b/>
                <w:color w:val="FF0000"/>
                <w:sz w:val="28"/>
                <w:szCs w:val="28"/>
              </w:rPr>
            </w:pPr>
            <w:r>
              <w:rPr>
                <w:rFonts w:hint="eastAsia" w:ascii="宋体" w:hAnsi="宋体"/>
                <w:b/>
                <w:color w:val="FF0000"/>
                <w:sz w:val="28"/>
                <w:szCs w:val="28"/>
              </w:rPr>
              <w:t>投标上限价（招标控制价）金额：4753830.00元。</w:t>
            </w:r>
          </w:p>
          <w:p>
            <w:pPr>
              <w:spacing w:line="360" w:lineRule="exact"/>
              <w:rPr>
                <w:rFonts w:ascii="宋体" w:hAnsi="宋体"/>
                <w:b/>
                <w:sz w:val="28"/>
                <w:szCs w:val="28"/>
              </w:rPr>
            </w:pPr>
            <w:r>
              <w:rPr>
                <w:rFonts w:hint="eastAsia" w:ascii="宋体" w:hAnsi="宋体"/>
                <w:b/>
                <w:color w:val="FF0000"/>
                <w:sz w:val="28"/>
                <w:szCs w:val="28"/>
              </w:rPr>
              <w:t>投标单位的报价不得低于其成本价或高于投标上限价（招标控制价）。否则投标将被否决。</w:t>
            </w:r>
          </w:p>
        </w:tc>
      </w:tr>
      <w:tr>
        <w:tblPrEx>
          <w:tblLayout w:type="fixed"/>
          <w:tblCellMar>
            <w:top w:w="0" w:type="dxa"/>
            <w:left w:w="108" w:type="dxa"/>
            <w:bottom w:w="0" w:type="dxa"/>
            <w:right w:w="108" w:type="dxa"/>
          </w:tblCellMar>
        </w:tblPrEx>
        <w:trPr>
          <w:trHeight w:val="42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3.3</w:t>
            </w:r>
            <w:r>
              <w:rPr>
                <w:rFonts w:hint="eastAsia"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投标有效期</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投标文件截止之日起</w:t>
            </w:r>
            <w:r>
              <w:rPr>
                <w:rFonts w:hint="eastAsia" w:ascii="宋体" w:hAnsi="宋体"/>
                <w:sz w:val="24"/>
                <w:u w:val="single"/>
              </w:rPr>
              <w:t xml:space="preserve"> 60</w:t>
            </w:r>
            <w:r>
              <w:rPr>
                <w:rFonts w:hint="eastAsia" w:ascii="宋体" w:hAnsi="宋体"/>
                <w:sz w:val="24"/>
              </w:rPr>
              <w:t>天。</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3.4.1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w:t>
            </w:r>
            <w:r>
              <w:rPr>
                <w:rFonts w:hint="eastAsia" w:ascii="宋体" w:hAnsi="宋体"/>
                <w:sz w:val="24"/>
              </w:rPr>
              <w:t>担保</w:t>
            </w:r>
          </w:p>
        </w:tc>
        <w:tc>
          <w:tcPr>
            <w:tcW w:w="6841"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b/>
                <w:sz w:val="24"/>
              </w:rPr>
            </w:pPr>
            <w:r>
              <w:rPr>
                <w:rFonts w:hint="eastAsia" w:ascii="宋体" w:hAnsi="宋体"/>
                <w:b/>
                <w:sz w:val="24"/>
              </w:rPr>
              <w:t>本工程不要求提交投标保证金。</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近年财务状况</w:t>
            </w:r>
            <w:r>
              <w:rPr>
                <w:rFonts w:hint="eastAsia" w:ascii="宋体" w:hAnsi="宋体"/>
                <w:sz w:val="24"/>
              </w:rPr>
              <w:t>的年份要求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无</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近三年（指、、年）。</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近年完成的类似项目</w:t>
            </w:r>
            <w:r>
              <w:rPr>
                <w:rFonts w:hint="eastAsia" w:ascii="宋体" w:hAnsi="宋体"/>
                <w:sz w:val="24"/>
              </w:rPr>
              <w:t>的时间要求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无</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近三年，</w:t>
            </w:r>
            <w:r>
              <w:rPr>
                <w:rFonts w:hint="eastAsia" w:ascii="宋体" w:hAnsi="宋体" w:cs="仿宋_GB2312"/>
                <w:sz w:val="24"/>
              </w:rPr>
              <w:t>自本工程招标公告发布之日起往前顺推</w:t>
            </w:r>
            <w:r>
              <w:rPr>
                <w:rFonts w:hint="eastAsia" w:ascii="宋体" w:hAnsi="宋体"/>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近年发生的诉讼</w:t>
            </w:r>
          </w:p>
          <w:p>
            <w:pPr>
              <w:spacing w:line="360" w:lineRule="exact"/>
              <w:jc w:val="center"/>
              <w:rPr>
                <w:rFonts w:ascii="宋体" w:hAnsi="宋体"/>
                <w:sz w:val="24"/>
              </w:rPr>
            </w:pPr>
            <w:r>
              <w:rPr>
                <w:rFonts w:ascii="宋体" w:hAnsi="宋体"/>
                <w:sz w:val="24"/>
              </w:rPr>
              <w:t>及仲裁情况</w:t>
            </w:r>
            <w:r>
              <w:rPr>
                <w:rFonts w:hint="eastAsia" w:ascii="宋体" w:hAnsi="宋体"/>
                <w:sz w:val="24"/>
              </w:rPr>
              <w:t>的</w:t>
            </w:r>
          </w:p>
          <w:p>
            <w:pPr>
              <w:spacing w:line="360" w:lineRule="exact"/>
              <w:jc w:val="center"/>
              <w:rPr>
                <w:rFonts w:ascii="宋体" w:hAnsi="宋体"/>
                <w:sz w:val="24"/>
              </w:rPr>
            </w:pPr>
            <w:r>
              <w:rPr>
                <w:rFonts w:hint="eastAsia" w:ascii="宋体" w:hAnsi="宋体"/>
                <w:sz w:val="24"/>
              </w:rPr>
              <w:t>年份要求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近三年，</w:t>
            </w:r>
            <w:r>
              <w:rPr>
                <w:rFonts w:hint="eastAsia" w:ascii="宋体" w:hAnsi="宋体" w:cs="仿宋_GB2312"/>
                <w:sz w:val="24"/>
              </w:rPr>
              <w:t>自本工程投标邀请书发出之日起往前顺推</w:t>
            </w:r>
            <w:r>
              <w:rPr>
                <w:rFonts w:hint="eastAsia" w:ascii="宋体" w:hAnsi="宋体"/>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3.6</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是否允许</w:t>
            </w:r>
            <w:r>
              <w:rPr>
                <w:rFonts w:hint="eastAsia" w:ascii="宋体" w:hAnsi="宋体"/>
                <w:sz w:val="24"/>
              </w:rPr>
              <w:t>递交备</w:t>
            </w:r>
            <w:r>
              <w:rPr>
                <w:rFonts w:ascii="宋体" w:hAnsi="宋体"/>
                <w:sz w:val="24"/>
              </w:rPr>
              <w:t>选投标方案</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ind w:left="1109" w:hanging="1108" w:hangingChars="462"/>
              <w:rPr>
                <w:rFonts w:ascii="宋体" w:hAnsi="宋体"/>
                <w:sz w:val="24"/>
              </w:rPr>
            </w:pPr>
            <w:r>
              <w:rPr>
                <w:rFonts w:hint="eastAsia" w:ascii="宋体" w:hAnsi="宋体"/>
                <w:sz w:val="24"/>
              </w:rPr>
              <w:t xml:space="preserve"> 允许，备选投标方案的编制要求：</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签字或盖章要求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sz w:val="24"/>
              </w:rPr>
            </w:pPr>
            <w:r>
              <w:rPr>
                <w:rFonts w:hint="eastAsia" w:ascii="宋体" w:hAnsi="宋体"/>
                <w:sz w:val="24"/>
              </w:rPr>
              <w:t>招标文件提供的投标文件格式中规定要求签字、盖章的地方均须由投标人的法定代表人或其委托代理人亲笔签字或加盖印鉴（不得使用个人印章、签名章或其他电子制版签名代替）、加盖投标人公章（不得使用其他代章）。</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投标文件副本份数</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一般性工程</w:t>
            </w:r>
          </w:p>
          <w:p>
            <w:pPr>
              <w:spacing w:line="360" w:lineRule="exact"/>
              <w:rPr>
                <w:rFonts w:ascii="宋体" w:hAnsi="宋体"/>
                <w:sz w:val="24"/>
              </w:rPr>
            </w:pPr>
            <w:r>
              <w:rPr>
                <w:rFonts w:hint="eastAsia" w:ascii="宋体" w:hAnsi="宋体"/>
                <w:sz w:val="24"/>
              </w:rPr>
              <w:t>投标文件：正本一份，副本</w:t>
            </w:r>
            <w:r>
              <w:rPr>
                <w:rFonts w:hint="eastAsia" w:ascii="宋体" w:hAnsi="宋体"/>
                <w:sz w:val="24"/>
                <w:u w:val="single"/>
              </w:rPr>
              <w:t>4</w:t>
            </w:r>
            <w:r>
              <w:rPr>
                <w:rFonts w:ascii="宋体" w:hAnsi="宋体"/>
                <w:sz w:val="24"/>
              </w:rPr>
              <w:t>份</w:t>
            </w:r>
            <w:r>
              <w:rPr>
                <w:rFonts w:hint="eastAsia" w:ascii="宋体" w:hAnsi="宋体"/>
                <w:sz w:val="24"/>
              </w:rPr>
              <w:t>，共</w:t>
            </w:r>
            <w:r>
              <w:rPr>
                <w:rFonts w:hint="eastAsia" w:ascii="宋体" w:hAnsi="宋体"/>
                <w:sz w:val="24"/>
                <w:u w:val="single"/>
              </w:rPr>
              <w:t>5</w:t>
            </w:r>
            <w:r>
              <w:rPr>
                <w:rFonts w:hint="eastAsia" w:ascii="宋体" w:hAnsi="宋体"/>
                <w:sz w:val="24"/>
              </w:rPr>
              <w:t>份；</w:t>
            </w:r>
          </w:p>
          <w:p>
            <w:pPr>
              <w:spacing w:line="360" w:lineRule="exact"/>
              <w:rPr>
                <w:rFonts w:ascii="宋体" w:hAnsi="宋体"/>
                <w:sz w:val="24"/>
              </w:rPr>
            </w:pPr>
            <w:r>
              <w:rPr>
                <w:rFonts w:hint="eastAsia" w:ascii="宋体" w:hAnsi="宋体"/>
                <w:sz w:val="24"/>
              </w:rPr>
              <w:t>投标文件电子版：</w:t>
            </w:r>
            <w:r>
              <w:rPr>
                <w:rFonts w:hint="eastAsia" w:ascii="宋体" w:hAnsi="宋体"/>
                <w:sz w:val="24"/>
                <w:u w:val="single"/>
              </w:rPr>
              <w:t>2</w:t>
            </w:r>
            <w:r>
              <w:rPr>
                <w:rFonts w:hint="eastAsia" w:ascii="宋体" w:hAnsi="宋体"/>
                <w:sz w:val="24"/>
              </w:rPr>
              <w:t>份。</w:t>
            </w:r>
          </w:p>
          <w:p>
            <w:pPr>
              <w:spacing w:line="360" w:lineRule="exact"/>
              <w:rPr>
                <w:rFonts w:ascii="宋体" w:hAnsi="宋体"/>
                <w:sz w:val="24"/>
              </w:rPr>
            </w:pPr>
            <w:r>
              <w:rPr>
                <w:rFonts w:hint="eastAsia" w:ascii="宋体" w:hAnsi="宋体"/>
                <w:b/>
                <w:bCs/>
                <w:sz w:val="24"/>
              </w:rPr>
              <w:t>（</w:t>
            </w:r>
            <w:r>
              <w:rPr>
                <w:rFonts w:hint="eastAsia" w:ascii="宋体" w:hAnsi="宋体"/>
                <w:b/>
                <w:sz w:val="24"/>
              </w:rPr>
              <w:t>投标文件电子版应包含所有投标文件的内容。投标文件</w:t>
            </w:r>
            <w:r>
              <w:rPr>
                <w:rFonts w:hint="eastAsia" w:ascii="宋体" w:hAnsi="宋体"/>
                <w:b/>
                <w:bCs/>
                <w:sz w:val="24"/>
              </w:rPr>
              <w:t>电子版必须是签字盖章后的PDF扫描件。投标人未按规定提供电子版投标文件的，将作为废标处理）</w:t>
            </w:r>
          </w:p>
          <w:p>
            <w:pPr>
              <w:spacing w:line="360" w:lineRule="exact"/>
              <w:rPr>
                <w:rFonts w:ascii="宋体" w:hAnsi="宋体"/>
                <w:sz w:val="24"/>
              </w:rPr>
            </w:pPr>
            <w:r>
              <w:rPr>
                <w:rFonts w:hint="eastAsia" w:ascii="宋体" w:hAnsi="宋体"/>
                <w:b/>
                <w:sz w:val="24"/>
              </w:rPr>
              <w:t>注：副本可以是正本签字盖章后的复印件，但必须清晰可辨；当副本与正本不一致时以正本为准。</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特殊性工程</w:t>
            </w:r>
          </w:p>
          <w:p>
            <w:pPr>
              <w:spacing w:line="360" w:lineRule="exact"/>
              <w:rPr>
                <w:rFonts w:ascii="宋体" w:hAnsi="宋体"/>
                <w:sz w:val="24"/>
              </w:rPr>
            </w:pPr>
            <w:r>
              <w:rPr>
                <w:rFonts w:hint="eastAsia" w:ascii="宋体" w:hAnsi="宋体"/>
                <w:sz w:val="24"/>
              </w:rPr>
              <w:t>资信标（含资格审查资料）：正本一份，副本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经济标：正本一份，副本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技术标明标：正本一份，副本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技术标暗标：正本一份，副本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投标文件电子版：份。</w:t>
            </w:r>
          </w:p>
          <w:p>
            <w:pPr>
              <w:spacing w:line="360" w:lineRule="exact"/>
              <w:rPr>
                <w:rFonts w:ascii="宋体" w:hAnsi="宋体"/>
                <w:b/>
                <w:sz w:val="24"/>
              </w:rPr>
            </w:pPr>
            <w:r>
              <w:rPr>
                <w:rFonts w:hint="eastAsia" w:ascii="宋体" w:hAnsi="宋体"/>
                <w:b/>
                <w:sz w:val="24"/>
              </w:rPr>
              <w:t>注：技术标明标、资信标及经济标的副本可以是正本签字盖章后的复印件，但必须清晰可辨。所有技术标暗标副本均不得出现任何与判断投标人相关的标识或暗示，否则该投标将予以否决处理（采用暗标时）。投标文件电子版应包含所有投标文件的内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装订要求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按照投标人须知第3.1.1项规定的投标文件组成内容，投标文件应按以下要求装订：</w:t>
            </w:r>
          </w:p>
          <w:p>
            <w:pPr>
              <w:spacing w:line="360" w:lineRule="exact"/>
              <w:rPr>
                <w:rFonts w:ascii="宋体" w:hAnsi="宋体"/>
                <w:sz w:val="24"/>
              </w:rPr>
            </w:pPr>
            <w:r>
              <w:rPr>
                <w:rFonts w:hint="eastAsia" w:ascii="宋体" w:hAnsi="宋体"/>
                <w:sz w:val="24"/>
              </w:rPr>
              <w:t>1、分册装订，共分</w:t>
            </w:r>
            <w:r>
              <w:rPr>
                <w:rFonts w:hint="eastAsia" w:ascii="宋体" w:hAnsi="宋体"/>
                <w:sz w:val="24"/>
                <w:u w:val="single"/>
              </w:rPr>
              <w:t xml:space="preserve"> 1 </w:t>
            </w:r>
            <w:r>
              <w:rPr>
                <w:rFonts w:hint="eastAsia" w:ascii="宋体" w:hAnsi="宋体"/>
                <w:sz w:val="24"/>
              </w:rPr>
              <w:t>册，分别为：</w:t>
            </w:r>
          </w:p>
          <w:p>
            <w:pPr>
              <w:spacing w:line="360" w:lineRule="exact"/>
              <w:ind w:firstLine="480" w:firstLineChars="20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投标文件：1册；</w:t>
            </w:r>
          </w:p>
          <w:p>
            <w:pPr>
              <w:spacing w:line="360" w:lineRule="exact"/>
              <w:ind w:firstLine="480" w:firstLineChars="200"/>
              <w:rPr>
                <w:rFonts w:ascii="宋体" w:hAnsi="宋体"/>
                <w:sz w:val="24"/>
              </w:rPr>
            </w:pPr>
            <w:r>
              <w:rPr>
                <w:rFonts w:hint="eastAsia" w:ascii="宋体" w:hAnsi="宋体"/>
                <w:sz w:val="24"/>
                <w:bdr w:val="single" w:color="auto" w:sz="4" w:space="0"/>
              </w:rPr>
              <w:t xml:space="preserve">  </w:t>
            </w:r>
            <w:r>
              <w:rPr>
                <w:rFonts w:hint="eastAsia" w:ascii="宋体" w:hAnsi="宋体"/>
                <w:sz w:val="24"/>
              </w:rPr>
              <w:t>经济标：1册；</w:t>
            </w:r>
          </w:p>
          <w:p>
            <w:pPr>
              <w:spacing w:line="360" w:lineRule="exact"/>
              <w:rPr>
                <w:rFonts w:ascii="宋体" w:hAnsi="宋体"/>
                <w:sz w:val="24"/>
              </w:rPr>
            </w:pPr>
            <w:r>
              <w:rPr>
                <w:rFonts w:hint="eastAsia" w:ascii="宋体" w:hAnsi="宋体"/>
                <w:sz w:val="24"/>
              </w:rPr>
              <w:t xml:space="preserve"> 资信标（含资格审查资料）：1册；</w:t>
            </w:r>
          </w:p>
          <w:p>
            <w:pPr>
              <w:spacing w:line="360" w:lineRule="exact"/>
              <w:ind w:firstLine="480" w:firstLineChars="200"/>
              <w:rPr>
                <w:rFonts w:ascii="宋体" w:hAnsi="宋体"/>
                <w:sz w:val="24"/>
              </w:rPr>
            </w:pPr>
            <w:r>
              <w:rPr>
                <w:rFonts w:hint="eastAsia" w:ascii="宋体" w:hAnsi="宋体"/>
                <w:sz w:val="24"/>
                <w:bdr w:val="single" w:color="auto" w:sz="4" w:space="0"/>
              </w:rPr>
              <w:t xml:space="preserve">  </w:t>
            </w:r>
            <w:r>
              <w:rPr>
                <w:rFonts w:hint="eastAsia" w:ascii="宋体" w:hAnsi="宋体"/>
                <w:sz w:val="24"/>
              </w:rPr>
              <w:t>技术标明标：1册；</w:t>
            </w:r>
          </w:p>
          <w:p>
            <w:pPr>
              <w:spacing w:line="360" w:lineRule="exact"/>
              <w:rPr>
                <w:rFonts w:ascii="宋体" w:hAnsi="宋体"/>
                <w:sz w:val="24"/>
              </w:rPr>
            </w:pPr>
            <w:r>
              <w:rPr>
                <w:rFonts w:hint="eastAsia" w:ascii="宋体" w:hAnsi="宋体"/>
                <w:sz w:val="24"/>
              </w:rPr>
              <w:t xml:space="preserve"> 技术标暗标：1册。</w:t>
            </w:r>
          </w:p>
          <w:p>
            <w:pPr>
              <w:spacing w:line="360" w:lineRule="exact"/>
              <w:rPr>
                <w:rFonts w:ascii="宋体" w:hAnsi="宋体"/>
                <w:sz w:val="24"/>
              </w:rPr>
            </w:pPr>
            <w:r>
              <w:rPr>
                <w:rFonts w:hint="eastAsia" w:ascii="宋体" w:hAnsi="宋体"/>
                <w:sz w:val="24"/>
              </w:rPr>
              <w:t>2、可采用</w:t>
            </w:r>
            <w:r>
              <w:rPr>
                <w:rFonts w:hint="eastAsia" w:ascii="宋体" w:hAnsi="宋体"/>
                <w:sz w:val="24"/>
                <w:u w:val="single"/>
              </w:rPr>
              <w:t>书式胶装</w:t>
            </w:r>
            <w:r>
              <w:rPr>
                <w:rFonts w:hint="eastAsia" w:ascii="宋体" w:hAnsi="宋体"/>
                <w:sz w:val="24"/>
              </w:rPr>
              <w:t>方式装订，装订应牢固、不易拆散和换页，不得采用活页装订。</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投标文件的密封</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ind w:left="240" w:hanging="240" w:hangingChars="100"/>
              <w:rPr>
                <w:rFonts w:ascii="宋体" w:hAnsi="宋体"/>
                <w:sz w:val="24"/>
              </w:rPr>
            </w:pPr>
            <w:r>
              <w:rPr>
                <w:rFonts w:hint="eastAsia" w:ascii="宋体" w:hAnsi="宋体"/>
                <w:sz w:val="24"/>
              </w:rPr>
              <w:t>投标人投标时递交的投标文件共</w:t>
            </w:r>
            <w:r>
              <w:rPr>
                <w:rFonts w:hint="eastAsia" w:ascii="宋体" w:hAnsi="宋体"/>
                <w:sz w:val="24"/>
                <w:u w:val="single"/>
              </w:rPr>
              <w:t xml:space="preserve"> 2 </w:t>
            </w:r>
            <w:r>
              <w:rPr>
                <w:rFonts w:hint="eastAsia" w:ascii="宋体" w:hAnsi="宋体"/>
                <w:sz w:val="24"/>
              </w:rPr>
              <w:t>包，其标记和密封要求如下：</w:t>
            </w:r>
          </w:p>
          <w:p>
            <w:pPr>
              <w:spacing w:line="360" w:lineRule="exact"/>
              <w:ind w:left="360" w:hanging="360" w:hangingChars="150"/>
              <w:rPr>
                <w:rFonts w:ascii="宋体" w:hAnsi="宋体"/>
                <w:sz w:val="24"/>
              </w:rPr>
            </w:pPr>
            <w:r>
              <w:rPr>
                <w:rFonts w:hint="eastAsia" w:ascii="宋体" w:hAnsi="宋体"/>
                <w:sz w:val="24"/>
              </w:rPr>
              <w:t xml:space="preserve"> 资格审查资料的正本与副本封面应注明“正本”、“副本”字样，不需要密封。</w:t>
            </w:r>
          </w:p>
          <w:p>
            <w:pPr>
              <w:spacing w:line="360" w:lineRule="exact"/>
              <w:ind w:left="360" w:hanging="360" w:hangingChars="15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投标文件的正本与副本封面应注明“正本”、“副本”字样，使用一个密封封套进行包装，并在封套上注明“投标文件”字样；在封套的封口处加贴封条并骑缝加盖投标人（联合体牵头人）单位公章。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rPr>
              <w:t xml:space="preserve"> </w:t>
            </w:r>
            <w:r>
              <w:rPr>
                <w:rFonts w:hint="eastAsia" w:ascii="宋体" w:hAnsi="宋体"/>
                <w:sz w:val="24"/>
                <w:bdr w:val="single" w:color="auto" w:sz="4" w:space="0"/>
              </w:rPr>
              <w:t xml:space="preserve">  </w:t>
            </w:r>
            <w:r>
              <w:rPr>
                <w:rFonts w:hint="eastAsia" w:ascii="宋体" w:hAnsi="宋体"/>
                <w:sz w:val="24"/>
              </w:rPr>
              <w:t>资信标（含资格审查资料）的正本与副本封面应注明“正本”、“副本”字样，使用一个密封封套进行包装，并在封套上注 明“资信标（含资格审查资料）”字样；在封套的封口处加贴封       条并骑缝加盖投标人（联合体牵头人）单位公章。</w:t>
            </w:r>
          </w:p>
          <w:p>
            <w:pPr>
              <w:spacing w:line="360" w:lineRule="exact"/>
              <w:ind w:left="360" w:hanging="360" w:hangingChars="150"/>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技术标明标的正本与副本封面应注明“正本”、“副本”字样，使用一个密封封套进行包装，并在封套上注明“技术标明标”字样；在封套的封口处加贴封条并骑缝加盖投标人（联合体牵头人）单位公章。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rPr>
              <w:t xml:space="preserve"> </w:t>
            </w:r>
            <w:r>
              <w:rPr>
                <w:rFonts w:hint="eastAsia" w:ascii="宋体" w:hAnsi="宋体"/>
                <w:sz w:val="24"/>
                <w:bdr w:val="single" w:color="auto" w:sz="4" w:space="0"/>
              </w:rPr>
              <w:t xml:space="preserve">  </w:t>
            </w:r>
            <w:r>
              <w:rPr>
                <w:rFonts w:hint="eastAsia" w:ascii="宋体" w:hAnsi="宋体"/>
                <w:sz w:val="24"/>
              </w:rPr>
              <w:t>技术标暗标的正本与副本封面应注明“正本”、“副本”字样（注意副本不得有投标人的任何标识），先使用一个独立的密封封套将技术标暗标正本进行密封包装（此为内封套），并明确标示“技术标暗标”、“正本”字样及投标人名称，在封套的封口处加贴封条并骑缝加盖投标人（联合体牵头人）单位公章；然后再将封好内封套的技术标暗标正本与所有的技术标暗标副本（无内封套）一起密封包装在一个外封套内；该外封套上必须明确标示“技术标暗标”字样及投标人名称，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投标文件电子版（以光盘或U盘为载体，如有）使用一个密封封套进行包装，并在封套上注明“投标文件电子版”字样；在封套的封口处加贴封条并骑缝加盖投标人（联合体牵头人）单位公章。</w:t>
            </w:r>
          </w:p>
          <w:p>
            <w:pPr>
              <w:spacing w:line="360" w:lineRule="exact"/>
              <w:ind w:left="1"/>
              <w:rPr>
                <w:rFonts w:ascii="宋体" w:hAnsi="宋体"/>
                <w:sz w:val="24"/>
                <w:szCs w:val="21"/>
              </w:rPr>
            </w:pPr>
            <w:r>
              <w:rPr>
                <w:rFonts w:hint="eastAsia" w:ascii="宋体" w:hAnsi="宋体"/>
                <w:b/>
                <w:sz w:val="24"/>
              </w:rPr>
              <w:t>投标文件未按上述规定进行密封及标记的，招标人不予受理。对因错放或密封不牢靠而造成的提前开封的投标文件将予以拒绝，并退还给投标人，招标人及招标代理机构不承担由此造成的投标文件提前开封的责任。</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封套上应载明</w:t>
            </w:r>
          </w:p>
          <w:p>
            <w:pPr>
              <w:spacing w:line="360" w:lineRule="exact"/>
              <w:jc w:val="center"/>
              <w:rPr>
                <w:rFonts w:ascii="宋体" w:hAnsi="宋体"/>
                <w:sz w:val="24"/>
              </w:rPr>
            </w:pPr>
            <w:r>
              <w:rPr>
                <w:rFonts w:hint="eastAsia" w:ascii="宋体" w:hAnsi="宋体"/>
                <w:sz w:val="24"/>
              </w:rPr>
              <w:t>的信息</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招标人地址：</w:t>
            </w:r>
            <w:r>
              <w:rPr>
                <w:rFonts w:hint="eastAsia" w:ascii="宋体" w:hAnsi="宋体"/>
                <w:sz w:val="24"/>
              </w:rPr>
              <w:t>佛山市南海区</w:t>
            </w:r>
          </w:p>
          <w:p>
            <w:pPr>
              <w:spacing w:line="360" w:lineRule="exact"/>
              <w:rPr>
                <w:rFonts w:ascii="宋体" w:hAnsi="宋体"/>
                <w:sz w:val="24"/>
                <w:u w:val="single"/>
              </w:rPr>
            </w:pPr>
            <w:r>
              <w:rPr>
                <w:rFonts w:ascii="宋体" w:hAnsi="宋体"/>
                <w:sz w:val="24"/>
              </w:rPr>
              <w:t>招标人名称：</w:t>
            </w:r>
            <w:r>
              <w:rPr>
                <w:rFonts w:hint="eastAsia" w:ascii="宋体" w:hAnsi="宋体"/>
                <w:sz w:val="24"/>
                <w:u w:val="single"/>
              </w:rPr>
              <w:t>佛山市南海恒德胜嘉置业有限公司</w:t>
            </w:r>
          </w:p>
          <w:p>
            <w:pPr>
              <w:spacing w:line="360" w:lineRule="exact"/>
              <w:rPr>
                <w:rFonts w:ascii="宋体" w:hAnsi="宋体"/>
                <w:sz w:val="24"/>
              </w:rPr>
            </w:pPr>
            <w:r>
              <w:rPr>
                <w:rFonts w:hint="eastAsia" w:ascii="宋体" w:hAnsi="宋体" w:cs="宋体"/>
                <w:kern w:val="0"/>
                <w:sz w:val="24"/>
                <w:u w:val="single"/>
                <w:lang w:eastAsia="zh-CN"/>
              </w:rPr>
              <w:t>上林观湖苑幼儿园（第二次招标）</w:t>
            </w:r>
            <w:r>
              <w:rPr>
                <w:rFonts w:hint="eastAsia" w:ascii="宋体" w:hAnsi="宋体" w:cs="宋体"/>
                <w:kern w:val="0"/>
                <w:sz w:val="24"/>
              </w:rPr>
              <w:t>施工招标</w:t>
            </w:r>
            <w:r>
              <w:rPr>
                <w:rFonts w:hint="eastAsia" w:ascii="宋体" w:hAnsi="宋体"/>
                <w:sz w:val="24"/>
              </w:rPr>
              <w:t>投标文件或投标文件电子版</w:t>
            </w:r>
          </w:p>
          <w:p>
            <w:pPr>
              <w:spacing w:line="360" w:lineRule="exact"/>
              <w:rPr>
                <w:rFonts w:ascii="宋体" w:hAnsi="宋体"/>
                <w:sz w:val="24"/>
              </w:rPr>
            </w:pPr>
            <w:r>
              <w:rPr>
                <w:rFonts w:ascii="宋体" w:hAnsi="宋体"/>
                <w:sz w:val="24"/>
              </w:rPr>
              <w:t>在</w:t>
            </w:r>
            <w:r>
              <w:rPr>
                <w:rFonts w:hint="eastAsia" w:ascii="宋体" w:hAnsi="宋体"/>
                <w:sz w:val="24"/>
                <w:u w:val="single"/>
              </w:rPr>
              <w:t xml:space="preserve">     年   月   </w:t>
            </w:r>
            <w:r>
              <w:rPr>
                <w:rFonts w:ascii="宋体" w:hAnsi="宋体"/>
                <w:sz w:val="24"/>
                <w:u w:val="single"/>
              </w:rPr>
              <w:t>日</w:t>
            </w:r>
            <w:r>
              <w:rPr>
                <w:rFonts w:hint="eastAsia" w:ascii="宋体" w:hAnsi="宋体"/>
                <w:sz w:val="24"/>
                <w:u w:val="single"/>
              </w:rPr>
              <w:t>9</w:t>
            </w:r>
            <w:r>
              <w:rPr>
                <w:rFonts w:ascii="宋体" w:hAnsi="宋体"/>
                <w:sz w:val="24"/>
                <w:u w:val="single"/>
              </w:rPr>
              <w:t>时</w:t>
            </w:r>
            <w:r>
              <w:rPr>
                <w:rFonts w:hint="eastAsia" w:ascii="宋体" w:hAnsi="宋体"/>
                <w:sz w:val="24"/>
                <w:u w:val="single"/>
              </w:rPr>
              <w:t>30</w:t>
            </w:r>
            <w:r>
              <w:rPr>
                <w:rFonts w:hint="eastAsia" w:ascii="宋体" w:hAnsi="宋体"/>
                <w:sz w:val="24"/>
              </w:rPr>
              <w:t>分</w:t>
            </w:r>
            <w:r>
              <w:rPr>
                <w:rFonts w:ascii="宋体" w:hAnsi="宋体"/>
                <w:sz w:val="24"/>
              </w:rPr>
              <w:t>前不得开启</w:t>
            </w:r>
          </w:p>
          <w:p>
            <w:pPr>
              <w:spacing w:line="360" w:lineRule="exact"/>
              <w:rPr>
                <w:rFonts w:ascii="宋体" w:hAnsi="宋体"/>
                <w:sz w:val="24"/>
              </w:rPr>
            </w:pPr>
            <w:r>
              <w:rPr>
                <w:rFonts w:hint="eastAsia" w:ascii="宋体" w:hAnsi="宋体"/>
                <w:sz w:val="24"/>
              </w:rPr>
              <w:t>投标人名称：            投标人地址：</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4.2.1</w:t>
            </w:r>
          </w:p>
        </w:tc>
        <w:tc>
          <w:tcPr>
            <w:tcW w:w="2160" w:type="dxa"/>
            <w:tcBorders>
              <w:top w:val="single" w:color="auto" w:sz="4" w:space="0"/>
              <w:left w:val="single" w:color="auto" w:sz="4" w:space="0"/>
              <w:bottom w:val="single" w:color="auto" w:sz="4" w:space="0"/>
              <w:right w:val="single" w:color="auto" w:sz="4" w:space="0"/>
            </w:tcBorders>
            <w:vAlign w:val="center"/>
          </w:tcPr>
          <w:p>
            <w:pPr>
              <w:pStyle w:val="23"/>
              <w:snapToGrid w:val="0"/>
              <w:spacing w:line="380" w:lineRule="exact"/>
              <w:ind w:left="-108" w:firstLine="0" w:firstLineChars="0"/>
              <w:jc w:val="center"/>
              <w:rPr>
                <w:rFonts w:ascii="宋体" w:hAnsi="宋体"/>
                <w:sz w:val="24"/>
              </w:rPr>
            </w:pPr>
            <w:r>
              <w:rPr>
                <w:rFonts w:hint="eastAsia" w:ascii="宋体" w:hAnsi="宋体"/>
                <w:sz w:val="24"/>
              </w:rPr>
              <w:t>递交投标文件</w:t>
            </w:r>
          </w:p>
          <w:p>
            <w:pPr>
              <w:pStyle w:val="23"/>
              <w:snapToGrid w:val="0"/>
              <w:spacing w:line="380" w:lineRule="exact"/>
              <w:ind w:left="-108" w:firstLine="0" w:firstLineChars="0"/>
              <w:jc w:val="center"/>
              <w:rPr>
                <w:rFonts w:ascii="宋体" w:hAnsi="宋体"/>
                <w:sz w:val="24"/>
              </w:rPr>
            </w:pPr>
            <w:r>
              <w:rPr>
                <w:rFonts w:hint="eastAsia" w:ascii="宋体" w:hAnsi="宋体"/>
                <w:sz w:val="24"/>
              </w:rPr>
              <w:t>截止时间</w:t>
            </w:r>
          </w:p>
        </w:tc>
        <w:tc>
          <w:tcPr>
            <w:tcW w:w="6841" w:type="dxa"/>
            <w:tcBorders>
              <w:top w:val="single" w:color="auto" w:sz="4" w:space="0"/>
              <w:left w:val="single" w:color="auto" w:sz="4" w:space="0"/>
              <w:bottom w:val="single" w:color="auto" w:sz="4" w:space="0"/>
              <w:right w:val="single" w:color="auto" w:sz="4" w:space="0"/>
            </w:tcBorders>
            <w:vAlign w:val="center"/>
          </w:tcPr>
          <w:p>
            <w:pPr>
              <w:pStyle w:val="23"/>
              <w:snapToGrid w:val="0"/>
              <w:spacing w:line="380" w:lineRule="exact"/>
              <w:ind w:left="-8" w:leftChars="-4" w:firstLine="0" w:firstLineChars="0"/>
              <w:rPr>
                <w:rFonts w:ascii="宋体" w:hAnsi="宋体"/>
                <w:sz w:val="24"/>
              </w:rPr>
            </w:pPr>
            <w:r>
              <w:rPr>
                <w:rFonts w:hint="eastAsia" w:ascii="宋体" w:hAnsi="宋体"/>
                <w:sz w:val="24"/>
                <w:u w:val="single"/>
              </w:rPr>
              <w:t>详见招标公告</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递交投标文件地点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u w:val="single"/>
              </w:rPr>
              <w:t>佛山市公共资源交易中心南海分中心</w:t>
            </w:r>
            <w:r>
              <w:rPr>
                <w:rFonts w:hint="eastAsia" w:ascii="宋体" w:hAnsi="宋体"/>
                <w:snapToGrid w:val="0"/>
                <w:kern w:val="0"/>
                <w:sz w:val="24"/>
              </w:rPr>
              <w:t>开标室（地址：</w:t>
            </w:r>
            <w:r>
              <w:rPr>
                <w:rFonts w:hint="eastAsia" w:ascii="宋体" w:hAnsi="宋体"/>
                <w:sz w:val="24"/>
                <w:u w:val="single"/>
              </w:rPr>
              <w:t>广东省佛山市南海区桂城街道桂澜北路8号三楼</w:t>
            </w:r>
            <w:r>
              <w:rPr>
                <w:rFonts w:hint="eastAsia" w:ascii="宋体" w:hAnsi="宋体"/>
                <w:snapToGrid w:val="0"/>
                <w:kern w:val="0"/>
                <w:sz w:val="24"/>
              </w:rPr>
              <w:t>）</w:t>
            </w:r>
          </w:p>
        </w:tc>
      </w:tr>
      <w:tr>
        <w:tblPrEx>
          <w:tblLayout w:type="fixed"/>
          <w:tblCellMar>
            <w:top w:w="0" w:type="dxa"/>
            <w:left w:w="108" w:type="dxa"/>
            <w:bottom w:w="0" w:type="dxa"/>
            <w:right w:w="108" w:type="dxa"/>
          </w:tblCellMar>
        </w:tblPrEx>
        <w:trPr>
          <w:trHeight w:val="8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4.3.3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构成投标文件的其他材料</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在投标截止时间前提交的书面修改文件</w:t>
            </w:r>
          </w:p>
        </w:tc>
      </w:tr>
      <w:tr>
        <w:tblPrEx>
          <w:tblLayout w:type="fixed"/>
          <w:tblCellMar>
            <w:top w:w="0" w:type="dxa"/>
            <w:left w:w="108" w:type="dxa"/>
            <w:bottom w:w="0" w:type="dxa"/>
            <w:right w:w="108" w:type="dxa"/>
          </w:tblCellMar>
        </w:tblPrEx>
        <w:trPr>
          <w:trHeight w:val="8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开标时间和地点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开标时间</w:t>
            </w:r>
            <w:r>
              <w:rPr>
                <w:rFonts w:hint="eastAsia" w:ascii="宋体" w:hAnsi="宋体"/>
                <w:sz w:val="24"/>
              </w:rPr>
              <w:t>：</w:t>
            </w:r>
            <w:r>
              <w:rPr>
                <w:rFonts w:ascii="宋体" w:hAnsi="宋体"/>
                <w:sz w:val="24"/>
              </w:rPr>
              <w:t>同投标截止时间</w:t>
            </w:r>
          </w:p>
          <w:p>
            <w:pPr>
              <w:spacing w:line="360" w:lineRule="exact"/>
              <w:rPr>
                <w:rFonts w:ascii="宋体" w:hAnsi="宋体"/>
                <w:sz w:val="24"/>
              </w:rPr>
            </w:pPr>
            <w:r>
              <w:rPr>
                <w:rFonts w:ascii="宋体" w:hAnsi="宋体"/>
                <w:sz w:val="24"/>
              </w:rPr>
              <w:t>开标地点</w:t>
            </w:r>
            <w:r>
              <w:rPr>
                <w:rFonts w:hint="eastAsia" w:ascii="宋体" w:hAnsi="宋体"/>
                <w:sz w:val="24"/>
              </w:rPr>
              <w:t>：</w:t>
            </w:r>
            <w:r>
              <w:rPr>
                <w:rFonts w:hint="eastAsia" w:ascii="宋体" w:hAnsi="宋体"/>
                <w:sz w:val="24"/>
                <w:u w:val="single"/>
              </w:rPr>
              <w:t>佛山市公共资源交易中心南海分中心</w:t>
            </w:r>
            <w:r>
              <w:rPr>
                <w:rFonts w:hint="eastAsia" w:ascii="宋体" w:hAnsi="宋体"/>
                <w:snapToGrid w:val="0"/>
                <w:kern w:val="0"/>
                <w:sz w:val="24"/>
              </w:rPr>
              <w:t>开标室（地址：</w:t>
            </w:r>
            <w:r>
              <w:rPr>
                <w:rFonts w:hint="eastAsia" w:ascii="宋体" w:hAnsi="宋体"/>
                <w:sz w:val="24"/>
                <w:u w:val="single"/>
              </w:rPr>
              <w:t>广东省佛山市南海区桂城街道桂澜北路8号三楼</w:t>
            </w:r>
            <w:r>
              <w:rPr>
                <w:rFonts w:hint="eastAsia" w:ascii="宋体" w:hAnsi="宋体"/>
                <w:snapToGrid w:val="0"/>
                <w:kern w:val="0"/>
                <w:sz w:val="24"/>
              </w:rPr>
              <w:t>）</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投标人出席开标会的特定人员要求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rPr>
            </w:pPr>
            <w:r>
              <w:rPr>
                <w:rFonts w:hint="eastAsia" w:ascii="宋体" w:hAnsi="宋体" w:cs="宋体"/>
                <w:kern w:val="0"/>
                <w:sz w:val="24"/>
              </w:rPr>
              <w:t>（1）是否要求特定人员出席开标会：</w:t>
            </w:r>
          </w:p>
          <w:p>
            <w:pPr>
              <w:spacing w:line="360" w:lineRule="exact"/>
              <w:rPr>
                <w:rFonts w:ascii="宋体" w:hAnsi="宋体" w:cs="宋体"/>
                <w:kern w:val="0"/>
                <w:sz w:val="24"/>
              </w:rPr>
            </w:pPr>
            <w:r>
              <w:rPr>
                <w:rFonts w:hint="eastAsia" w:ascii="宋体" w:hAnsi="宋体"/>
                <w:sz w:val="24"/>
                <w:bdr w:val="single" w:color="auto" w:sz="4" w:space="0"/>
              </w:rPr>
              <w:t>√</w:t>
            </w:r>
            <w:r>
              <w:rPr>
                <w:rFonts w:hint="eastAsia" w:ascii="宋体" w:hAnsi="宋体" w:cs="宋体"/>
                <w:kern w:val="0"/>
                <w:sz w:val="24"/>
              </w:rPr>
              <w:t xml:space="preserve"> 不要求</w:t>
            </w:r>
          </w:p>
          <w:p>
            <w:pPr>
              <w:spacing w:line="360" w:lineRule="exact"/>
              <w:rPr>
                <w:rFonts w:ascii="宋体" w:hAnsi="宋体" w:cs="宋体"/>
                <w:kern w:val="0"/>
                <w:sz w:val="24"/>
              </w:rPr>
            </w:pPr>
            <w:r>
              <w:rPr>
                <w:rFonts w:hint="eastAsia" w:ascii="宋体" w:hAnsi="宋体"/>
                <w:sz w:val="24"/>
                <w:bdr w:val="single" w:color="auto" w:sz="4" w:space="0"/>
              </w:rPr>
              <w:t xml:space="preserve">  </w:t>
            </w:r>
            <w:r>
              <w:rPr>
                <w:rFonts w:hint="eastAsia" w:ascii="宋体" w:hAnsi="宋体" w:cs="宋体"/>
                <w:kern w:val="0"/>
                <w:sz w:val="24"/>
              </w:rPr>
              <w:t>要求以下特定人员出席开标会</w:t>
            </w:r>
          </w:p>
          <w:p>
            <w:pPr>
              <w:spacing w:line="360" w:lineRule="exact"/>
              <w:ind w:left="466" w:leftChars="222"/>
              <w:rPr>
                <w:rFonts w:ascii="宋体" w:hAnsi="宋体" w:cs="宋体"/>
                <w:kern w:val="0"/>
                <w:sz w:val="24"/>
              </w:rPr>
            </w:pPr>
            <w:r>
              <w:rPr>
                <w:rFonts w:hint="eastAsia" w:ascii="宋体" w:hAnsi="宋体" w:cs="宋体"/>
                <w:kern w:val="0"/>
                <w:sz w:val="24"/>
              </w:rPr>
              <w:t xml:space="preserve"> 法定代表人或企业负责人（总经理）或企业技术负责人</w:t>
            </w:r>
          </w:p>
          <w:p>
            <w:pPr>
              <w:spacing w:line="360" w:lineRule="exact"/>
              <w:rPr>
                <w:rFonts w:ascii="宋体" w:hAnsi="宋体" w:cs="宋体"/>
                <w:kern w:val="0"/>
                <w:sz w:val="24"/>
              </w:rPr>
            </w:pPr>
            <w:r>
              <w:rPr>
                <w:rFonts w:hint="eastAsia" w:ascii="宋体" w:hAnsi="宋体" w:cs="宋体"/>
                <w:kern w:val="0"/>
                <w:sz w:val="24"/>
              </w:rPr>
              <w:t xml:space="preserve"> 法定代表人或企业行政负责人（总经理）或企业技术负责人或拟派本工程的项目负责人（建造师）</w:t>
            </w:r>
          </w:p>
          <w:p>
            <w:pPr>
              <w:spacing w:line="360" w:lineRule="exact"/>
              <w:rPr>
                <w:rFonts w:ascii="宋体" w:hAnsi="宋体" w:cs="宋体"/>
                <w:b/>
                <w:kern w:val="0"/>
                <w:sz w:val="24"/>
              </w:rPr>
            </w:pPr>
            <w:r>
              <w:rPr>
                <w:rFonts w:hint="eastAsia" w:ascii="宋体" w:hAnsi="宋体" w:cs="宋体"/>
                <w:kern w:val="0"/>
                <w:sz w:val="24"/>
              </w:rPr>
              <w:t xml:space="preserve"> 拟派本工程的项目负责人（建造师）</w:t>
            </w:r>
          </w:p>
          <w:p>
            <w:pPr>
              <w:spacing w:line="360" w:lineRule="exact"/>
              <w:rPr>
                <w:rFonts w:ascii="宋体" w:hAnsi="宋体"/>
                <w:sz w:val="24"/>
              </w:rPr>
            </w:pPr>
            <w:r>
              <w:rPr>
                <w:rFonts w:hint="eastAsia" w:ascii="宋体" w:hAnsi="宋体" w:cs="宋体"/>
                <w:kern w:val="0"/>
                <w:sz w:val="24"/>
              </w:rPr>
              <w:t>（2）本次招标要求各投标人的授权代理人及上述特定人员必须在投标截止时间前到场并参加开标会，并按开标程序，向招标人</w:t>
            </w:r>
            <w:r>
              <w:rPr>
                <w:rFonts w:hint="eastAsia" w:ascii="宋体" w:hAnsi="宋体"/>
                <w:sz w:val="24"/>
              </w:rPr>
              <w:t>出示本人的身份证明文件，以证明其出席。</w:t>
            </w:r>
          </w:p>
          <w:p>
            <w:pPr>
              <w:spacing w:line="360" w:lineRule="exact"/>
              <w:rPr>
                <w:rFonts w:ascii="宋体" w:hAnsi="宋体"/>
                <w:sz w:val="24"/>
              </w:rPr>
            </w:pPr>
            <w:r>
              <w:rPr>
                <w:rFonts w:hint="eastAsia" w:ascii="宋体" w:hAnsi="宋体"/>
                <w:sz w:val="24"/>
              </w:rPr>
              <w:t>（3）投标人授权代理人须全程参加开标会，不得中途退场。特定人员未按规定到场的，将视为该投标人弃权，其投标文件将被拒绝受理或作无效处理。特定人员核对身份后即可离场。如特定人员和授权代理人为同一人时，则须全程参加开标会。</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投标人出席开标会人员的身份证明文件要求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投标人应派</w:t>
            </w:r>
            <w:r>
              <w:rPr>
                <w:rFonts w:hint="eastAsia" w:ascii="宋体" w:hAnsi="宋体" w:cs="仿宋_GB2312"/>
                <w:kern w:val="0"/>
                <w:sz w:val="24"/>
              </w:rPr>
              <w:t>授权代理人</w:t>
            </w:r>
            <w:r>
              <w:rPr>
                <w:rFonts w:hint="eastAsia" w:ascii="宋体" w:hAnsi="宋体"/>
                <w:sz w:val="24"/>
              </w:rPr>
              <w:t>准时递交投标文件和出席开标会，</w:t>
            </w:r>
            <w:r>
              <w:rPr>
                <w:rFonts w:hint="eastAsia" w:ascii="宋体" w:hAnsi="宋体" w:cs="仿宋_GB2312"/>
                <w:kern w:val="0"/>
                <w:sz w:val="24"/>
              </w:rPr>
              <w:t>授权代理人</w:t>
            </w:r>
            <w:r>
              <w:rPr>
                <w:rFonts w:hint="eastAsia" w:ascii="宋体" w:hAnsi="宋体"/>
                <w:sz w:val="24"/>
              </w:rPr>
              <w:t>必须是已取得佛山市公共资源交易中心投标交易员资格的人员。递交投标文件和出席开标会时，</w:t>
            </w:r>
            <w:r>
              <w:rPr>
                <w:rFonts w:hint="eastAsia" w:ascii="宋体" w:hAnsi="宋体" w:cs="仿宋_GB2312"/>
                <w:kern w:val="0"/>
                <w:sz w:val="24"/>
              </w:rPr>
              <w:t>授权代理人</w:t>
            </w:r>
            <w:r>
              <w:rPr>
                <w:rFonts w:hint="eastAsia" w:ascii="宋体" w:hAnsi="宋体"/>
                <w:sz w:val="24"/>
              </w:rPr>
              <w:t>须携带第二代身份证原件、法定代表人证明书和授权委托书核查。开标前将对</w:t>
            </w:r>
            <w:r>
              <w:rPr>
                <w:rFonts w:hint="eastAsia" w:ascii="宋体" w:hAnsi="宋体" w:cs="仿宋_GB2312"/>
                <w:kern w:val="0"/>
                <w:sz w:val="24"/>
              </w:rPr>
              <w:t>授权代理人</w:t>
            </w:r>
            <w:r>
              <w:rPr>
                <w:rFonts w:hint="eastAsia" w:ascii="宋体" w:hAnsi="宋体"/>
                <w:sz w:val="24"/>
              </w:rPr>
              <w:t>的第二代身份证和取得交易员资格时采集的本人指纹进行当场验证，两种验证能通过其中任何一种即可；两种验证均不能通过的，招标人将退回其投标文件。</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开标程序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投标人授权代理人（含特定人员）的身份检查由招标人代表实施并当众宣布检查结果；投标文件密封情况检查由投标报名顺序排前的两名投标人授权代理人实施并当场宣布检查结果。不符合规定要求的，其投标将被拒绝。</w:t>
            </w:r>
          </w:p>
          <w:p>
            <w:pPr>
              <w:spacing w:line="360" w:lineRule="exact"/>
              <w:rPr>
                <w:rFonts w:ascii="宋体" w:hAnsi="宋体"/>
                <w:sz w:val="24"/>
              </w:rPr>
            </w:pPr>
            <w:r>
              <w:rPr>
                <w:rFonts w:hint="eastAsia" w:ascii="宋体" w:hAnsi="宋体"/>
                <w:sz w:val="24"/>
              </w:rPr>
              <w:t>（2）开标顺序：</w:t>
            </w:r>
            <w:r>
              <w:rPr>
                <w:rFonts w:hint="eastAsia" w:ascii="宋体" w:hAnsi="宋体"/>
                <w:sz w:val="24"/>
                <w:u w:val="single"/>
              </w:rPr>
              <w:t xml:space="preserve">  随机。</w:t>
            </w:r>
          </w:p>
        </w:tc>
      </w:tr>
      <w:tr>
        <w:tblPrEx>
          <w:tblLayout w:type="fixed"/>
          <w:tblCellMar>
            <w:top w:w="0" w:type="dxa"/>
            <w:left w:w="108" w:type="dxa"/>
            <w:bottom w:w="0" w:type="dxa"/>
            <w:right w:w="108" w:type="dxa"/>
          </w:tblCellMar>
        </w:tblPrEx>
        <w:trPr>
          <w:trHeight w:val="74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6.1.1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评标委员会的组建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w:t>
            </w:r>
            <w:r>
              <w:rPr>
                <w:rFonts w:ascii="宋体" w:hAnsi="宋体"/>
                <w:sz w:val="24"/>
              </w:rPr>
              <w:t>评标委员会</w:t>
            </w:r>
            <w:r>
              <w:rPr>
                <w:rFonts w:hint="eastAsia" w:ascii="宋体" w:hAnsi="宋体"/>
                <w:sz w:val="24"/>
              </w:rPr>
              <w:t>构成：共</w:t>
            </w:r>
            <w:r>
              <w:rPr>
                <w:rFonts w:hint="eastAsia" w:ascii="宋体" w:hAnsi="宋体"/>
                <w:sz w:val="24"/>
                <w:u w:val="single"/>
              </w:rPr>
              <w:t xml:space="preserve"> 5 </w:t>
            </w:r>
            <w:r>
              <w:rPr>
                <w:rFonts w:hint="eastAsia" w:ascii="宋体" w:hAnsi="宋体"/>
                <w:sz w:val="24"/>
              </w:rPr>
              <w:t>人，其中评标专家</w:t>
            </w:r>
            <w:bookmarkStart w:id="19" w:name="OLE_LINK2"/>
            <w:r>
              <w:rPr>
                <w:rFonts w:hint="eastAsia" w:ascii="宋体" w:hAnsi="宋体"/>
                <w:sz w:val="24"/>
                <w:u w:val="single"/>
              </w:rPr>
              <w:t xml:space="preserve"> 5 </w:t>
            </w:r>
            <w:r>
              <w:rPr>
                <w:rFonts w:hint="eastAsia" w:ascii="宋体" w:hAnsi="宋体"/>
                <w:sz w:val="24"/>
              </w:rPr>
              <w:t>人</w:t>
            </w:r>
            <w:bookmarkEnd w:id="19"/>
            <w:r>
              <w:rPr>
                <w:rFonts w:hint="eastAsia" w:ascii="宋体" w:hAnsi="宋体"/>
                <w:sz w:val="24"/>
              </w:rPr>
              <w:t>，招标人代表</w:t>
            </w:r>
            <w:r>
              <w:rPr>
                <w:rFonts w:hint="eastAsia" w:ascii="宋体" w:hAnsi="宋体"/>
                <w:sz w:val="24"/>
                <w:u w:val="single"/>
              </w:rPr>
              <w:t xml:space="preserve"> 0 </w:t>
            </w:r>
            <w:r>
              <w:rPr>
                <w:rFonts w:hint="eastAsia" w:ascii="宋体" w:hAnsi="宋体"/>
                <w:sz w:val="24"/>
              </w:rPr>
              <w:t>人（限招标人在职人员，应当具备</w:t>
            </w:r>
            <w:r>
              <w:rPr>
                <w:rFonts w:ascii="Arial" w:hAnsi="Arial" w:cs="Arial"/>
                <w:sz w:val="24"/>
              </w:rPr>
              <w:t>国家和省规定的评标专家条件和要求</w:t>
            </w:r>
            <w:r>
              <w:rPr>
                <w:rFonts w:hint="eastAsia" w:ascii="宋体" w:hAnsi="宋体"/>
                <w:sz w:val="24"/>
              </w:rPr>
              <w:t>，且不能担任评标委员会负责人，不得领取评标报酬）。</w:t>
            </w:r>
          </w:p>
          <w:p>
            <w:pPr>
              <w:spacing w:line="360" w:lineRule="exact"/>
              <w:rPr>
                <w:rFonts w:ascii="宋体" w:hAnsi="宋体"/>
                <w:sz w:val="24"/>
                <w:u w:val="single"/>
              </w:rPr>
            </w:pPr>
            <w:r>
              <w:rPr>
                <w:rFonts w:hint="eastAsia" w:ascii="宋体" w:hAnsi="宋体"/>
                <w:sz w:val="24"/>
              </w:rPr>
              <w:t>（2）</w:t>
            </w:r>
            <w:r>
              <w:rPr>
                <w:rFonts w:ascii="宋体" w:hAnsi="宋体"/>
                <w:sz w:val="24"/>
              </w:rPr>
              <w:t>评标专家确定方式</w:t>
            </w:r>
            <w:r>
              <w:rPr>
                <w:rFonts w:hint="eastAsia" w:ascii="宋体" w:hAnsi="宋体"/>
                <w:sz w:val="24"/>
              </w:rPr>
              <w:t>：由招标人于开标时间</w:t>
            </w:r>
            <w:r>
              <w:rPr>
                <w:rFonts w:hint="eastAsia" w:ascii="宋体" w:hAnsi="宋体"/>
                <w:sz w:val="24"/>
                <w:u w:val="single"/>
              </w:rPr>
              <w:t>（ 1 ）</w:t>
            </w:r>
            <w:r>
              <w:rPr>
                <w:rFonts w:hint="eastAsia" w:ascii="宋体" w:hAnsi="宋体"/>
                <w:sz w:val="24"/>
              </w:rPr>
              <w:t>小时前在</w:t>
            </w:r>
            <w:r>
              <w:rPr>
                <w:rFonts w:hint="eastAsia" w:ascii="宋体" w:hAnsi="宋体"/>
                <w:sz w:val="24"/>
                <w:u w:val="single"/>
              </w:rPr>
              <w:t>佛山市建设工程评标专家库</w:t>
            </w:r>
            <w:r>
              <w:rPr>
                <w:rFonts w:hint="eastAsia" w:ascii="宋体" w:hAnsi="宋体"/>
                <w:sz w:val="24"/>
              </w:rPr>
              <w:t>中随机抽取产生（同一单位不得有二名或以上专家同时参加同一项目的评标），若所要求类别的专家人数选取不足，则从相近专业类别中抽取。</w:t>
            </w:r>
          </w:p>
          <w:p>
            <w:pPr>
              <w:spacing w:line="360" w:lineRule="exact"/>
              <w:rPr>
                <w:rFonts w:ascii="宋体" w:hAnsi="宋体"/>
                <w:sz w:val="24"/>
              </w:rPr>
            </w:pPr>
            <w:r>
              <w:rPr>
                <w:rFonts w:hint="eastAsia" w:hAnsi="宋体"/>
                <w:color w:val="000000"/>
                <w:sz w:val="24"/>
                <w:szCs w:val="24"/>
              </w:rPr>
              <w:t>（3）随机抽取时由佛山市公共资源交易中心南海分中心工作人员负责，并由招标人代表见证。</w:t>
            </w:r>
          </w:p>
        </w:tc>
      </w:tr>
      <w:tr>
        <w:tblPrEx>
          <w:tblLayout w:type="fixed"/>
          <w:tblCellMar>
            <w:top w:w="0" w:type="dxa"/>
            <w:left w:w="108" w:type="dxa"/>
            <w:bottom w:w="0" w:type="dxa"/>
            <w:right w:w="108" w:type="dxa"/>
          </w:tblCellMar>
        </w:tblPrEx>
        <w:trPr>
          <w:trHeight w:val="69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7.1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是否授权评标委员会确定中标人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是</w:t>
            </w:r>
          </w:p>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否，推荐</w:t>
            </w:r>
            <w:r>
              <w:rPr>
                <w:rFonts w:hint="eastAsia" w:ascii="宋体" w:hAnsi="宋体"/>
                <w:sz w:val="24"/>
                <w:u w:val="single"/>
              </w:rPr>
              <w:t xml:space="preserve"> 1 </w:t>
            </w:r>
            <w:r>
              <w:rPr>
                <w:rFonts w:hint="eastAsia" w:ascii="宋体" w:hAnsi="宋体"/>
                <w:sz w:val="24"/>
              </w:rPr>
              <w:t>名中标候选人，并列出评标排名次序。</w:t>
            </w:r>
          </w:p>
        </w:tc>
      </w:tr>
      <w:tr>
        <w:tblPrEx>
          <w:tblLayout w:type="fixed"/>
          <w:tblCellMar>
            <w:top w:w="0" w:type="dxa"/>
            <w:left w:w="108" w:type="dxa"/>
            <w:bottom w:w="0" w:type="dxa"/>
            <w:right w:w="108" w:type="dxa"/>
          </w:tblCellMar>
        </w:tblPrEx>
        <w:trPr>
          <w:trHeight w:val="42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7.2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中标候选人公示媒介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招标人将评标委员会评审推荐的中标候选人的相关资料在佛山市公共资源交易网予以公示，公示期为3个工作日。</w:t>
            </w:r>
          </w:p>
        </w:tc>
      </w:tr>
      <w:tr>
        <w:tblPrEx>
          <w:tblLayout w:type="fixed"/>
          <w:tblCellMar>
            <w:top w:w="0" w:type="dxa"/>
            <w:left w:w="108" w:type="dxa"/>
            <w:bottom w:w="0" w:type="dxa"/>
            <w:right w:w="108" w:type="dxa"/>
          </w:tblCellMar>
        </w:tblPrEx>
        <w:trPr>
          <w:trHeight w:val="42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7.</w:t>
            </w:r>
            <w:r>
              <w:rPr>
                <w:rFonts w:hint="eastAsia" w:ascii="宋体" w:hAnsi="宋体"/>
                <w:sz w:val="24"/>
              </w:rPr>
              <w:t>5</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履约担保</w:t>
            </w:r>
            <w:r>
              <w:rPr>
                <w:rFonts w:hint="eastAsia" w:ascii="宋体" w:hAnsi="宋体"/>
                <w:sz w:val="24"/>
              </w:rPr>
              <w:t>（本项目不适用）</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履约担保形式：</w:t>
            </w:r>
            <w:r>
              <w:rPr>
                <w:rFonts w:ascii="宋体" w:hAnsi="宋体"/>
                <w:kern w:val="0"/>
                <w:sz w:val="24"/>
              </w:rPr>
              <w:t>可采用银行保函</w:t>
            </w:r>
            <w:r>
              <w:rPr>
                <w:rFonts w:hint="eastAsia" w:ascii="宋体" w:hAnsi="宋体"/>
                <w:kern w:val="0"/>
                <w:sz w:val="24"/>
              </w:rPr>
              <w:t>或专业</w:t>
            </w:r>
            <w:r>
              <w:rPr>
                <w:rFonts w:ascii="宋体" w:hAnsi="宋体"/>
                <w:kern w:val="0"/>
                <w:sz w:val="24"/>
              </w:rPr>
              <w:t>担保公司担保等形式</w:t>
            </w:r>
            <w:r>
              <w:rPr>
                <w:rFonts w:hint="eastAsia" w:ascii="宋体" w:hAnsi="宋体"/>
                <w:kern w:val="0"/>
                <w:sz w:val="24"/>
              </w:rPr>
              <w:t>。</w:t>
            </w:r>
          </w:p>
          <w:p>
            <w:pPr>
              <w:spacing w:line="360" w:lineRule="exact"/>
              <w:rPr>
                <w:rFonts w:ascii="宋体" w:hAnsi="宋体"/>
                <w:sz w:val="24"/>
                <w:u w:val="single"/>
              </w:rPr>
            </w:pPr>
            <w:r>
              <w:rPr>
                <w:rFonts w:hint="eastAsia" w:ascii="宋体" w:hAnsi="宋体"/>
                <w:sz w:val="24"/>
              </w:rPr>
              <w:t>履约担保金额：</w:t>
            </w:r>
            <w:r>
              <w:rPr>
                <w:rFonts w:hint="eastAsia" w:ascii="宋体" w:hAnsi="宋体"/>
                <w:sz w:val="24"/>
                <w:u w:val="single"/>
              </w:rPr>
              <w:t xml:space="preserve">        /        </w:t>
            </w:r>
            <w:r>
              <w:rPr>
                <w:rFonts w:hint="eastAsia" w:ascii="宋体" w:hAnsi="宋体"/>
                <w:sz w:val="24"/>
              </w:rPr>
              <w:t>。</w:t>
            </w:r>
          </w:p>
          <w:p>
            <w:pPr>
              <w:spacing w:line="360" w:lineRule="exact"/>
              <w:rPr>
                <w:rFonts w:ascii="宋体" w:hAnsi="宋体"/>
                <w:sz w:val="24"/>
              </w:rPr>
            </w:pPr>
            <w:r>
              <w:rPr>
                <w:rFonts w:hint="eastAsia" w:ascii="宋体" w:hAnsi="宋体" w:cs="宋体"/>
                <w:sz w:val="24"/>
              </w:rPr>
              <w:t>招标人同时向中标人提供同等数额的工程款支付担保（政府投资的工程除外）。工程款支付担保可</w:t>
            </w:r>
            <w:r>
              <w:rPr>
                <w:rFonts w:ascii="宋体" w:hAnsi="宋体"/>
                <w:kern w:val="0"/>
                <w:sz w:val="24"/>
              </w:rPr>
              <w:t>采用银行保函</w:t>
            </w:r>
            <w:r>
              <w:rPr>
                <w:rFonts w:hint="eastAsia" w:ascii="宋体" w:hAnsi="宋体"/>
                <w:kern w:val="0"/>
                <w:sz w:val="24"/>
              </w:rPr>
              <w:t>或专业</w:t>
            </w:r>
            <w:r>
              <w:rPr>
                <w:rFonts w:ascii="宋体" w:hAnsi="宋体"/>
                <w:kern w:val="0"/>
                <w:sz w:val="24"/>
              </w:rPr>
              <w:t>担保公司担保等形式</w:t>
            </w:r>
            <w:r>
              <w:rPr>
                <w:rFonts w:hint="eastAsia" w:ascii="宋体" w:hAnsi="宋体"/>
                <w:kern w:val="0"/>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sz w:val="24"/>
              </w:rPr>
            </w:pPr>
            <w:r>
              <w:rPr>
                <w:rFonts w:hint="eastAsia" w:ascii="宋体" w:hAnsi="宋体"/>
                <w:b/>
                <w:sz w:val="24"/>
              </w:rPr>
              <w:t>10</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sz w:val="24"/>
              </w:rPr>
            </w:pPr>
            <w:r>
              <w:rPr>
                <w:rFonts w:hint="eastAsia" w:ascii="宋体" w:hAnsi="宋体"/>
                <w:b/>
                <w:sz w:val="24"/>
              </w:rPr>
              <w:t>需要</w:t>
            </w:r>
            <w:r>
              <w:rPr>
                <w:rFonts w:ascii="宋体" w:hAnsi="宋体"/>
                <w:b/>
                <w:sz w:val="24"/>
              </w:rPr>
              <w:t>补充</w:t>
            </w:r>
            <w:r>
              <w:rPr>
                <w:rFonts w:hint="eastAsia" w:ascii="宋体" w:hAnsi="宋体"/>
                <w:b/>
                <w:sz w:val="24"/>
              </w:rPr>
              <w:t>的其他</w:t>
            </w:r>
            <w:r>
              <w:rPr>
                <w:rFonts w:ascii="宋体" w:hAnsi="宋体"/>
                <w:b/>
                <w:sz w:val="24"/>
              </w:rPr>
              <w:t>内容</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词语定义</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类似工程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类似工程是指：</w:t>
            </w:r>
            <w:r>
              <w:rPr>
                <w:rFonts w:hint="eastAsia" w:ascii="宋体" w:hAnsi="宋体"/>
                <w:sz w:val="24"/>
                <w:u w:val="single"/>
              </w:rPr>
              <w:t>　　　/　　　</w:t>
            </w:r>
          </w:p>
        </w:tc>
      </w:tr>
      <w:tr>
        <w:tblPrEx>
          <w:tblLayout w:type="fixed"/>
          <w:tblCellMar>
            <w:top w:w="0" w:type="dxa"/>
            <w:left w:w="108" w:type="dxa"/>
            <w:bottom w:w="0" w:type="dxa"/>
            <w:right w:w="108" w:type="dxa"/>
          </w:tblCellMar>
        </w:tblPrEx>
        <w:trPr>
          <w:trHeight w:val="88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相关专业</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本招标文件中措辞的“</w:t>
            </w:r>
            <w:r>
              <w:rPr>
                <w:rFonts w:hint="eastAsia" w:ascii="宋体" w:hAnsi="宋体"/>
                <w:sz w:val="24"/>
                <w:u w:val="single"/>
              </w:rPr>
              <w:t xml:space="preserve"> / </w:t>
            </w:r>
            <w:r>
              <w:rPr>
                <w:rFonts w:hint="eastAsia" w:ascii="宋体" w:hAnsi="宋体"/>
                <w:sz w:val="24"/>
              </w:rPr>
              <w:t>相关专业”是指：与</w:t>
            </w:r>
            <w:r>
              <w:rPr>
                <w:rFonts w:hint="eastAsia" w:ascii="宋体" w:hAnsi="宋体"/>
                <w:sz w:val="24"/>
                <w:u w:val="single"/>
              </w:rPr>
              <w:t xml:space="preserve">   /   </w:t>
            </w:r>
            <w:r>
              <w:rPr>
                <w:rFonts w:hint="eastAsia" w:ascii="宋体" w:hAnsi="宋体"/>
                <w:sz w:val="24"/>
              </w:rPr>
              <w:t>相关的专业，包括</w:t>
            </w:r>
            <w:r>
              <w:rPr>
                <w:rFonts w:hint="eastAsia" w:ascii="宋体" w:hAnsi="宋体"/>
                <w:sz w:val="24"/>
                <w:u w:val="single"/>
              </w:rPr>
              <w:t xml:space="preserve">    /    </w:t>
            </w:r>
            <w:r>
              <w:rPr>
                <w:rFonts w:hint="eastAsia" w:ascii="宋体" w:hAnsi="宋体"/>
                <w:sz w:val="24"/>
              </w:rPr>
              <w:t>等专业，以学历专业或职称专业为准。</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10.2</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“暗标”评审</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技术标是否采用“暗标”评审方式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不采用</w:t>
            </w:r>
          </w:p>
          <w:p>
            <w:pPr>
              <w:spacing w:line="360" w:lineRule="exact"/>
              <w:ind w:left="492" w:hanging="491" w:hangingChars="205"/>
              <w:rPr>
                <w:rFonts w:ascii="宋体" w:hAnsi="宋体"/>
                <w:sz w:val="24"/>
              </w:rPr>
            </w:pPr>
            <w:r>
              <w:rPr>
                <w:rFonts w:hint="eastAsia" w:ascii="宋体" w:hAnsi="宋体"/>
                <w:sz w:val="24"/>
                <w:bdr w:val="single" w:color="auto" w:sz="4" w:space="0"/>
              </w:rPr>
              <w:t xml:space="preserve">  </w:t>
            </w:r>
            <w:r>
              <w:rPr>
                <w:rFonts w:hint="eastAsia" w:ascii="宋体" w:hAnsi="宋体"/>
                <w:sz w:val="24"/>
              </w:rPr>
              <w:t>采用，投标人应严格按照投标须知正文第3.7款及本须知附表“投标文件的密封”要求编制、装订和密封。</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10.3</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投标文件电子版</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是否要求投标人同时递交投标文件电子版</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不要求</w:t>
            </w:r>
          </w:p>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要求，（投标文件电子版应包含所有投标文件的内容。资格审查资料电子版必须是签字盖章后的PDF扫描件。投标人未按规定提供电子版投标文件的，将作为废标处理）</w:t>
            </w:r>
          </w:p>
          <w:p>
            <w:pPr>
              <w:spacing w:line="360" w:lineRule="exact"/>
              <w:ind w:firstLine="480" w:firstLineChars="200"/>
              <w:rPr>
                <w:rFonts w:ascii="宋体" w:hAnsi="宋体"/>
                <w:sz w:val="24"/>
              </w:rPr>
            </w:pPr>
            <w:r>
              <w:rPr>
                <w:rFonts w:hint="eastAsia" w:ascii="宋体" w:hAnsi="宋体"/>
                <w:sz w:val="24"/>
              </w:rPr>
              <w:t>投标文件电子版份数：</w:t>
            </w:r>
            <w:r>
              <w:rPr>
                <w:rFonts w:hint="eastAsia" w:ascii="宋体" w:hAnsi="宋体"/>
                <w:sz w:val="24"/>
                <w:u w:val="single"/>
              </w:rPr>
              <w:t xml:space="preserve">  2  </w:t>
            </w:r>
            <w:r>
              <w:rPr>
                <w:rFonts w:hint="eastAsia" w:ascii="宋体" w:hAnsi="宋体"/>
                <w:sz w:val="24"/>
              </w:rPr>
              <w:t>份</w:t>
            </w:r>
          </w:p>
          <w:p>
            <w:pPr>
              <w:spacing w:line="360" w:lineRule="exact"/>
              <w:ind w:firstLine="480" w:firstLineChars="200"/>
              <w:rPr>
                <w:rFonts w:ascii="宋体" w:hAnsi="宋体"/>
                <w:sz w:val="24"/>
                <w:u w:val="single"/>
              </w:rPr>
            </w:pPr>
            <w:r>
              <w:rPr>
                <w:rFonts w:hint="eastAsia" w:ascii="宋体" w:hAnsi="宋体"/>
                <w:sz w:val="24"/>
              </w:rPr>
              <w:t xml:space="preserve">投标文件电子版形式： 以光盘或U盘为载体 </w:t>
            </w:r>
          </w:p>
          <w:p>
            <w:pPr>
              <w:spacing w:line="360" w:lineRule="exact"/>
              <w:ind w:firstLine="480" w:firstLineChars="200"/>
              <w:rPr>
                <w:rFonts w:ascii="宋体" w:hAnsi="宋体"/>
                <w:sz w:val="24"/>
                <w:u w:val="single"/>
              </w:rPr>
            </w:pPr>
            <w:r>
              <w:rPr>
                <w:rFonts w:hint="eastAsia" w:ascii="宋体" w:hAnsi="宋体"/>
                <w:sz w:val="24"/>
              </w:rPr>
              <w:t>投标文件电子版密封方式：单独放入一个密封袋中，加贴封条，并在封套封口处加盖投标人单位章，在封套上标记“投标文件电子版”字样。</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10.4</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计算机辅助评标</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是否实行计算机辅助评标</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否</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是，投标人需递交纸质投标文件一份，同时按本须知要求编制及报送电子投标文件。</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10.5</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知识产权</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10.6</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重新招标的其他情形</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除投标人须知正文第8条规定的情形外，除非已经产生中标候选人，在投标有效期内同意延长投标有效期的投标人少于三个的，招标人应当依法重新招标。</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10.7</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同义词语</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招标文件组成部分的“通用合同条款”、“专用合同条款”、“技术标准和要求”和“工程量清单”等章节中出现的措辞“发包人”和“承包人”，在招标投标阶段应当分别按“招标人”和“投标人”、“中标人”进行理解；“项目经理”与“项目负责人”应按相同定义进行理解。</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10.8</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监督</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本项目的招标投标活动及其相关当事人应当接受有管辖权的建设工程招标投标行政监督部门依法实施的监督。</w:t>
            </w:r>
          </w:p>
        </w:tc>
      </w:tr>
      <w:tr>
        <w:tblPrEx>
          <w:tblLayout w:type="fixed"/>
          <w:tblCellMar>
            <w:top w:w="0" w:type="dxa"/>
            <w:left w:w="108" w:type="dxa"/>
            <w:bottom w:w="0" w:type="dxa"/>
            <w:right w:w="108" w:type="dxa"/>
          </w:tblCellMar>
        </w:tblPrEx>
        <w:trPr>
          <w:trHeight w:val="23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10.9</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解释权</w:t>
            </w:r>
          </w:p>
        </w:tc>
      </w:tr>
      <w:tr>
        <w:tblPrEx>
          <w:tblLayout w:type="fixed"/>
          <w:tblCellMar>
            <w:top w:w="0" w:type="dxa"/>
            <w:left w:w="108" w:type="dxa"/>
            <w:bottom w:w="0" w:type="dxa"/>
            <w:right w:w="108" w:type="dxa"/>
          </w:tblCellMar>
        </w:tblPrEx>
        <w:trPr>
          <w:trHeight w:val="212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10.10</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中标交易服务费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360" w:firstLineChars="150"/>
              <w:rPr>
                <w:rFonts w:ascii="宋体" w:hAnsi="宋体"/>
                <w:sz w:val="24"/>
              </w:rPr>
            </w:pPr>
            <w:r>
              <w:rPr>
                <w:rFonts w:ascii="宋体" w:hAnsi="宋体"/>
                <w:sz w:val="24"/>
              </w:rPr>
              <w:t>中标人</w:t>
            </w:r>
            <w:r>
              <w:rPr>
                <w:rFonts w:hint="eastAsia" w:ascii="宋体" w:hAnsi="宋体"/>
                <w:sz w:val="24"/>
              </w:rPr>
              <w:t>无需</w:t>
            </w:r>
            <w:r>
              <w:rPr>
                <w:rFonts w:ascii="宋体" w:hAnsi="宋体"/>
                <w:sz w:val="24"/>
              </w:rPr>
              <w:t>缴纳</w:t>
            </w:r>
            <w:r>
              <w:rPr>
                <w:rFonts w:hint="eastAsia" w:ascii="宋体" w:hAnsi="宋体"/>
                <w:sz w:val="24"/>
              </w:rPr>
              <w:t>中标交易服务费。</w:t>
            </w:r>
          </w:p>
        </w:tc>
      </w:tr>
      <w:tr>
        <w:tblPrEx>
          <w:tblLayout w:type="fixed"/>
          <w:tblCellMar>
            <w:top w:w="0" w:type="dxa"/>
            <w:left w:w="108" w:type="dxa"/>
            <w:bottom w:w="0" w:type="dxa"/>
            <w:right w:w="108" w:type="dxa"/>
          </w:tblCellMar>
        </w:tblPrEx>
        <w:trPr>
          <w:trHeight w:val="23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10.11</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工程预付款及进度款拨付方式</w:t>
            </w:r>
          </w:p>
        </w:tc>
      </w:tr>
      <w:tr>
        <w:tblPrEx>
          <w:tblLayout w:type="fixed"/>
          <w:tblCellMar>
            <w:top w:w="0" w:type="dxa"/>
            <w:left w:w="108" w:type="dxa"/>
            <w:bottom w:w="0" w:type="dxa"/>
            <w:right w:w="108" w:type="dxa"/>
          </w:tblCellMar>
        </w:tblPrEx>
        <w:trPr>
          <w:trHeight w:val="42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sz w:val="24"/>
              </w:rPr>
            </w:pPr>
            <w:r>
              <w:rPr>
                <w:rFonts w:hint="eastAsia" w:ascii="宋体" w:hAnsi="宋体"/>
                <w:sz w:val="24"/>
              </w:rPr>
              <w:t>进度款结算方式：</w:t>
            </w:r>
            <w:r>
              <w:rPr>
                <w:rFonts w:hint="eastAsia" w:ascii="宋体" w:hAnsi="宋体"/>
                <w:sz w:val="24"/>
                <w:bdr w:val="single" w:color="auto" w:sz="4" w:space="0"/>
              </w:rPr>
              <w:t>√</w:t>
            </w:r>
            <w:r>
              <w:rPr>
                <w:rFonts w:hint="eastAsia" w:ascii="宋体" w:hAnsi="宋体"/>
                <w:sz w:val="24"/>
              </w:rPr>
              <w:t xml:space="preserve">按月结算与支付 </w:t>
            </w:r>
            <w:r>
              <w:rPr>
                <w:rFonts w:hint="eastAsia" w:ascii="宋体" w:hAnsi="宋体" w:cs="宋体"/>
                <w:sz w:val="24"/>
              </w:rPr>
              <w:t>□</w:t>
            </w:r>
            <w:r>
              <w:rPr>
                <w:rFonts w:hint="eastAsia" w:ascii="宋体" w:hAnsi="宋体"/>
                <w:sz w:val="24"/>
              </w:rPr>
              <w:t>以形象进度分段结算与支付。</w:t>
            </w:r>
          </w:p>
          <w:p>
            <w:pPr>
              <w:spacing w:line="360" w:lineRule="exact"/>
              <w:ind w:firstLine="352" w:firstLineChars="147"/>
              <w:jc w:val="left"/>
              <w:rPr>
                <w:rFonts w:ascii="宋体" w:hAnsi="宋体"/>
                <w:b/>
                <w:sz w:val="24"/>
                <w:lang w:val="en-GB"/>
              </w:rPr>
            </w:pPr>
            <w:r>
              <w:rPr>
                <w:rFonts w:hint="eastAsia" w:ascii="宋体" w:hAnsi="宋体"/>
                <w:b/>
                <w:sz w:val="24"/>
                <w:lang w:val="en-GB"/>
              </w:rPr>
              <w:t>具体为：</w:t>
            </w:r>
          </w:p>
          <w:p>
            <w:pPr>
              <w:spacing w:line="360" w:lineRule="exact"/>
              <w:jc w:val="left"/>
              <w:rPr>
                <w:rFonts w:ascii="宋体" w:hAnsi="宋体"/>
                <w:b/>
                <w:sz w:val="24"/>
              </w:rPr>
            </w:pPr>
            <w:r>
              <w:rPr>
                <w:rFonts w:hint="eastAsia" w:ascii="宋体" w:hAnsi="宋体"/>
                <w:b/>
                <w:sz w:val="24"/>
              </w:rPr>
              <w:t>（1）本工程合同签定后，开工之前。由招标人按合同包干总价（暂定）的20%预付中标人工程款。预付款为中标人购置材料、设备、施工设备、修建临时设施以及组织施工队伍进场；</w:t>
            </w:r>
          </w:p>
          <w:p>
            <w:pPr>
              <w:spacing w:line="360" w:lineRule="exact"/>
              <w:jc w:val="left"/>
              <w:rPr>
                <w:rFonts w:ascii="宋体" w:hAnsi="宋体"/>
                <w:b/>
                <w:sz w:val="24"/>
              </w:rPr>
            </w:pPr>
            <w:r>
              <w:rPr>
                <w:rFonts w:hint="eastAsia" w:ascii="宋体" w:hAnsi="宋体"/>
                <w:b/>
                <w:sz w:val="24"/>
              </w:rPr>
              <w:t>（2）本工程中标人正式进场施工后，于每月25日前提交当月所完成的工程量给招标人审核，招标人在审核完毕后于15日内支付至80%工程款；</w:t>
            </w:r>
          </w:p>
          <w:p>
            <w:pPr>
              <w:spacing w:line="360" w:lineRule="exact"/>
              <w:jc w:val="left"/>
              <w:rPr>
                <w:rFonts w:ascii="宋体" w:hAnsi="宋体"/>
                <w:b/>
                <w:sz w:val="24"/>
              </w:rPr>
            </w:pPr>
            <w:r>
              <w:rPr>
                <w:rFonts w:hint="eastAsia" w:ascii="宋体" w:hAnsi="宋体"/>
                <w:b/>
                <w:sz w:val="24"/>
              </w:rPr>
              <w:t>（3）本工程竣工验收合格后，支付至经招标人核定进度总造价的90%，且相应扣除20%的工程预付款。</w:t>
            </w:r>
          </w:p>
          <w:p>
            <w:pPr>
              <w:spacing w:line="360" w:lineRule="exact"/>
              <w:jc w:val="left"/>
              <w:rPr>
                <w:rFonts w:ascii="宋体" w:hAnsi="宋体"/>
                <w:b/>
                <w:sz w:val="24"/>
              </w:rPr>
            </w:pPr>
            <w:r>
              <w:rPr>
                <w:rFonts w:hint="eastAsia" w:ascii="宋体" w:hAnsi="宋体"/>
                <w:b/>
                <w:sz w:val="24"/>
              </w:rPr>
              <w:t>（4）经招标人验收移交及结算完成，支付至结算总造价的97%；</w:t>
            </w:r>
          </w:p>
          <w:p>
            <w:pPr>
              <w:spacing w:line="360" w:lineRule="exact"/>
              <w:jc w:val="left"/>
              <w:rPr>
                <w:rFonts w:ascii="宋体" w:hAnsi="宋体"/>
                <w:b/>
                <w:sz w:val="24"/>
              </w:rPr>
            </w:pPr>
            <w:r>
              <w:rPr>
                <w:rFonts w:hint="eastAsia" w:ascii="宋体" w:hAnsi="宋体"/>
                <w:b/>
                <w:sz w:val="24"/>
              </w:rPr>
              <w:t>（5）剩余工程结算总造价的3%为工程质量保证金，按本合同保修协议的约定支付（无息）。</w:t>
            </w:r>
          </w:p>
        </w:tc>
      </w:tr>
      <w:tr>
        <w:tblPrEx>
          <w:tblLayout w:type="fixed"/>
          <w:tblCellMar>
            <w:top w:w="0" w:type="dxa"/>
            <w:left w:w="108" w:type="dxa"/>
            <w:bottom w:w="0" w:type="dxa"/>
            <w:right w:w="108" w:type="dxa"/>
          </w:tblCellMar>
        </w:tblPrEx>
        <w:trPr>
          <w:trHeight w:val="67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2</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在评标结束后、中标通知书发出前，中标候选人放弃中标资格的，其投标保证金不予退还，</w:t>
            </w:r>
            <w:r>
              <w:rPr>
                <w:rFonts w:ascii="宋体" w:hAnsi="宋体"/>
                <w:sz w:val="24"/>
              </w:rPr>
              <w:t>给</w:t>
            </w:r>
            <w:r>
              <w:fldChar w:fldCharType="begin"/>
            </w:r>
            <w:r>
              <w:instrText xml:space="preserve"> HYPERLINK "http://zhidao.baidu.com/search?word=%E6%8B%9B%E6%A0%87%E4%BA%BA&amp;fr=qb_search_exp&amp;ie=utf8" \t "_blank" </w:instrText>
            </w:r>
            <w:r>
              <w:fldChar w:fldCharType="separate"/>
            </w:r>
            <w:r>
              <w:rPr>
                <w:rStyle w:val="85"/>
                <w:rFonts w:ascii="宋体" w:hAnsi="宋体"/>
                <w:color w:val="auto"/>
                <w:u w:val="none"/>
              </w:rPr>
              <w:t>招标人</w:t>
            </w:r>
            <w:r>
              <w:rPr>
                <w:rStyle w:val="85"/>
                <w:rFonts w:ascii="宋体" w:hAnsi="宋体"/>
                <w:color w:val="auto"/>
                <w:u w:val="none"/>
              </w:rPr>
              <w:fldChar w:fldCharType="end"/>
            </w:r>
            <w:r>
              <w:rPr>
                <w:rFonts w:ascii="宋体" w:hAnsi="宋体"/>
                <w:sz w:val="24"/>
              </w:rPr>
              <w:t>造成的损失超过</w:t>
            </w:r>
            <w:r>
              <w:rPr>
                <w:rFonts w:hint="eastAsia" w:ascii="宋体" w:hAnsi="宋体"/>
                <w:sz w:val="24"/>
              </w:rPr>
              <w:t>投标</w:t>
            </w:r>
            <w:r>
              <w:rPr>
                <w:rFonts w:ascii="宋体" w:hAnsi="宋体"/>
                <w:sz w:val="24"/>
              </w:rPr>
              <w:t>保证金数额的，还应当对超过部分予以赔偿</w:t>
            </w:r>
            <w:r>
              <w:rPr>
                <w:rFonts w:hint="eastAsia" w:ascii="宋体" w:hAnsi="宋体"/>
                <w:sz w:val="24"/>
              </w:rPr>
              <w:t>。</w:t>
            </w:r>
          </w:p>
        </w:tc>
      </w:tr>
      <w:tr>
        <w:tblPrEx>
          <w:tblLayout w:type="fixed"/>
          <w:tblCellMar>
            <w:top w:w="0" w:type="dxa"/>
            <w:left w:w="108" w:type="dxa"/>
            <w:bottom w:w="0" w:type="dxa"/>
            <w:right w:w="108" w:type="dxa"/>
          </w:tblCellMar>
        </w:tblPrEx>
        <w:trPr>
          <w:trHeight w:val="25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3</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1、投标人已递交投标保证金的，应当参加投标。一年内两次递交投标保证金后不参加投标的，将被列入区投标不诚信企业名单。</w:t>
            </w:r>
          </w:p>
          <w:p>
            <w:pPr>
              <w:spacing w:line="360" w:lineRule="exact"/>
              <w:rPr>
                <w:rFonts w:ascii="宋体" w:hAnsi="宋体"/>
                <w:sz w:val="24"/>
              </w:rPr>
            </w:pPr>
            <w:r>
              <w:rPr>
                <w:rFonts w:hint="eastAsia" w:ascii="宋体" w:hAnsi="宋体"/>
                <w:sz w:val="24"/>
              </w:rPr>
              <w:t>2、投标人一年内有三次明显差错导致废标的，将被列入区投标不诚信企业名单。明显差错包括以下行为：未按招标文件要求递交投标保证金；未按招标文件要求委派投标人代表参加投标；投标书未签字、盖章；修改“投标附录表”内容；报价函大小写不一致；提供的复印件和原件不符；未按招标文件的要求提供原件；技术标暗标出现特殊标示；其他明显未按招标文件规定制作投标文件的行为。</w:t>
            </w:r>
          </w:p>
          <w:p>
            <w:pPr>
              <w:spacing w:line="360" w:lineRule="exact"/>
              <w:rPr>
                <w:rFonts w:ascii="宋体" w:hAnsi="宋体"/>
                <w:sz w:val="24"/>
              </w:rPr>
            </w:pPr>
            <w:r>
              <w:rPr>
                <w:rFonts w:hint="eastAsia" w:ascii="宋体" w:hAnsi="宋体"/>
                <w:sz w:val="24"/>
              </w:rPr>
              <w:t>3、被列入区投标不诚信企业名单的投标企业，招标人有权拒绝其参加本项目的投标活动。</w:t>
            </w:r>
          </w:p>
        </w:tc>
      </w:tr>
      <w:tr>
        <w:tblPrEx>
          <w:tblLayout w:type="fixed"/>
          <w:tblCellMar>
            <w:top w:w="0" w:type="dxa"/>
            <w:left w:w="108" w:type="dxa"/>
            <w:bottom w:w="0" w:type="dxa"/>
            <w:right w:w="108" w:type="dxa"/>
          </w:tblCellMar>
        </w:tblPrEx>
        <w:trPr>
          <w:trHeight w:val="25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4</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中标人如为非佛山市企业的，中标人应严格按税收政策规定，向工程所在地税务机关申报预缴增值税等各项税款，在收取工程款时，中标人需向招标人提供工程所在地税款缴纳凭证及发票，否则招标人有权拒绝支付工程款。</w:t>
            </w:r>
          </w:p>
        </w:tc>
      </w:tr>
    </w:tbl>
    <w:p>
      <w:pPr>
        <w:spacing w:line="400" w:lineRule="exact"/>
        <w:rPr>
          <w:b/>
          <w:sz w:val="24"/>
        </w:rPr>
      </w:pPr>
      <w:r>
        <w:rPr>
          <w:rFonts w:hint="eastAsia"/>
          <w:b/>
          <w:sz w:val="24"/>
        </w:rPr>
        <w:t>注：本表内容须与投标人须知正文对应条款的内容一起阅读理解，如有不一致且不能互相解释的内容时，以本表内容为准。</w:t>
      </w:r>
    </w:p>
    <w:p>
      <w:pPr>
        <w:spacing w:line="400" w:lineRule="exact"/>
        <w:rPr>
          <w:rFonts w:ascii="黑体" w:hAnsi="黑体" w:eastAsia="黑体" w:cs="黑体"/>
          <w:sz w:val="28"/>
          <w:szCs w:val="28"/>
        </w:rPr>
      </w:pPr>
      <w:r>
        <w:br w:type="page"/>
      </w:r>
      <w:bookmarkStart w:id="20" w:name="_Toc179632546"/>
      <w:r>
        <w:rPr>
          <w:rFonts w:hint="eastAsia" w:ascii="黑体" w:hAnsi="黑体" w:eastAsia="黑体" w:cs="黑体"/>
          <w:sz w:val="28"/>
          <w:szCs w:val="28"/>
        </w:rPr>
        <w:t>投标人须知正文</w:t>
      </w:r>
    </w:p>
    <w:p>
      <w:pPr>
        <w:spacing w:line="400" w:lineRule="exact"/>
        <w:rPr>
          <w:rFonts w:ascii="黑体" w:hAnsi="黑体" w:eastAsia="黑体" w:cs="黑体"/>
          <w:sz w:val="28"/>
          <w:szCs w:val="28"/>
        </w:rPr>
      </w:pPr>
    </w:p>
    <w:p>
      <w:pPr>
        <w:spacing w:line="400" w:lineRule="exact"/>
        <w:rPr>
          <w:rFonts w:ascii="黑体" w:hAnsi="黑体" w:eastAsia="黑体" w:cs="黑体"/>
          <w:sz w:val="28"/>
          <w:szCs w:val="28"/>
        </w:rPr>
      </w:pPr>
      <w:r>
        <w:rPr>
          <w:rFonts w:hint="eastAsia" w:ascii="黑体" w:hAnsi="黑体" w:eastAsia="黑体" w:cs="黑体"/>
          <w:sz w:val="28"/>
          <w:szCs w:val="28"/>
        </w:rPr>
        <w:t>1. 总则</w:t>
      </w:r>
      <w:bookmarkEnd w:id="20"/>
    </w:p>
    <w:p>
      <w:pPr>
        <w:pStyle w:val="384"/>
        <w:rPr>
          <w:rFonts w:ascii="黑体" w:hAnsi="黑体" w:cs="黑体"/>
          <w:szCs w:val="24"/>
        </w:rPr>
      </w:pPr>
      <w:bookmarkStart w:id="21" w:name="_Toc179632547"/>
      <w:r>
        <w:rPr>
          <w:rFonts w:hint="eastAsia" w:ascii="黑体" w:hAnsi="黑体" w:cs="黑体"/>
          <w:szCs w:val="24"/>
        </w:rPr>
        <w:t>1.1 工程概况</w:t>
      </w:r>
      <w:bookmarkEnd w:id="21"/>
    </w:p>
    <w:p>
      <w:pPr>
        <w:spacing w:line="400" w:lineRule="exact"/>
        <w:ind w:left="720" w:hanging="720" w:hangingChars="300"/>
        <w:rPr>
          <w:rFonts w:ascii="宋体" w:hAnsi="宋体" w:cs="宋体"/>
          <w:sz w:val="24"/>
        </w:rPr>
      </w:pPr>
      <w:r>
        <w:rPr>
          <w:rFonts w:hint="eastAsia" w:ascii="宋体" w:hAnsi="宋体" w:cs="宋体"/>
          <w:sz w:val="24"/>
        </w:rPr>
        <w:t>1.1.1 根据《中华人民共和国招标投标法》等有关法律、法规和规章的规定，本工程已具备招标条件，现对本工程施工进行招标。</w:t>
      </w:r>
    </w:p>
    <w:p>
      <w:pPr>
        <w:spacing w:line="400" w:lineRule="exact"/>
        <w:rPr>
          <w:rFonts w:ascii="宋体" w:hAnsi="宋体" w:cs="宋体"/>
          <w:sz w:val="24"/>
        </w:rPr>
      </w:pPr>
      <w:r>
        <w:rPr>
          <w:rFonts w:hint="eastAsia" w:ascii="宋体" w:hAnsi="宋体" w:cs="宋体"/>
          <w:sz w:val="24"/>
        </w:rPr>
        <w:t>1.1.2 本招标项目招标人：见投标人须知前附表。</w:t>
      </w:r>
    </w:p>
    <w:p>
      <w:pPr>
        <w:spacing w:line="400" w:lineRule="exact"/>
        <w:rPr>
          <w:rFonts w:ascii="宋体" w:hAnsi="宋体" w:cs="宋体"/>
          <w:sz w:val="24"/>
        </w:rPr>
      </w:pPr>
      <w:r>
        <w:rPr>
          <w:rFonts w:hint="eastAsia" w:ascii="宋体" w:hAnsi="宋体" w:cs="宋体"/>
          <w:sz w:val="24"/>
        </w:rPr>
        <w:t>1.1.3 本标段招标代理机构：见投标人须知前附表。</w:t>
      </w:r>
    </w:p>
    <w:p>
      <w:pPr>
        <w:spacing w:line="400" w:lineRule="exact"/>
        <w:rPr>
          <w:rFonts w:ascii="宋体" w:hAnsi="宋体" w:cs="宋体"/>
          <w:sz w:val="24"/>
        </w:rPr>
      </w:pPr>
      <w:r>
        <w:rPr>
          <w:rFonts w:hint="eastAsia" w:ascii="宋体" w:hAnsi="宋体" w:cs="宋体"/>
          <w:sz w:val="24"/>
        </w:rPr>
        <w:t>1.1.4 本招标项目名称：见投标人须知前附表。</w:t>
      </w:r>
    </w:p>
    <w:p>
      <w:pPr>
        <w:spacing w:line="400" w:lineRule="exact"/>
        <w:rPr>
          <w:rFonts w:ascii="宋体" w:hAnsi="宋体" w:cs="宋体"/>
          <w:sz w:val="24"/>
        </w:rPr>
      </w:pPr>
      <w:r>
        <w:rPr>
          <w:rFonts w:hint="eastAsia" w:ascii="宋体" w:hAnsi="宋体" w:cs="宋体"/>
          <w:sz w:val="24"/>
        </w:rPr>
        <w:t>1.1.5 本招标项目建设地点：见投标人须知前附表。</w:t>
      </w:r>
    </w:p>
    <w:p>
      <w:pPr>
        <w:pStyle w:val="384"/>
      </w:pPr>
      <w:bookmarkStart w:id="22" w:name="_Toc179632548"/>
    </w:p>
    <w:p>
      <w:pPr>
        <w:pStyle w:val="384"/>
      </w:pPr>
      <w:r>
        <w:rPr>
          <w:rFonts w:hint="eastAsia" w:ascii="黑体" w:hAnsi="黑体" w:cs="黑体"/>
        </w:rPr>
        <w:t>1.2 资金来源和落实情况</w:t>
      </w:r>
      <w:bookmarkEnd w:id="22"/>
    </w:p>
    <w:p>
      <w:pPr>
        <w:spacing w:line="400" w:lineRule="exact"/>
        <w:rPr>
          <w:rFonts w:ascii="宋体" w:hAnsi="宋体" w:cs="宋体"/>
          <w:sz w:val="24"/>
        </w:rPr>
      </w:pPr>
      <w:r>
        <w:rPr>
          <w:rFonts w:hint="eastAsia" w:ascii="宋体" w:hAnsi="宋体" w:cs="宋体"/>
          <w:sz w:val="24"/>
        </w:rPr>
        <w:t>1.2.1 本招标项目的资金来源：见投标人须知前附表。</w:t>
      </w:r>
    </w:p>
    <w:p>
      <w:pPr>
        <w:spacing w:line="400" w:lineRule="exact"/>
        <w:rPr>
          <w:rFonts w:ascii="宋体" w:hAnsi="宋体" w:cs="宋体"/>
          <w:sz w:val="24"/>
        </w:rPr>
      </w:pPr>
      <w:r>
        <w:rPr>
          <w:rFonts w:hint="eastAsia" w:ascii="宋体" w:hAnsi="宋体" w:cs="宋体"/>
          <w:sz w:val="24"/>
        </w:rPr>
        <w:t>1.2.2 本招标项目的出资比例：见投标人须知前附表。</w:t>
      </w:r>
    </w:p>
    <w:p>
      <w:pPr>
        <w:spacing w:line="400" w:lineRule="exact"/>
        <w:rPr>
          <w:sz w:val="24"/>
        </w:rPr>
      </w:pPr>
      <w:r>
        <w:rPr>
          <w:rFonts w:hint="eastAsia" w:ascii="宋体" w:hAnsi="宋体" w:cs="宋体"/>
          <w:sz w:val="24"/>
        </w:rPr>
        <w:t>1.2.3 本招标项目的资金落实情况：见投标人须知前附表。</w:t>
      </w:r>
    </w:p>
    <w:p>
      <w:pPr>
        <w:pStyle w:val="384"/>
      </w:pPr>
      <w:bookmarkStart w:id="23" w:name="_Toc179632549"/>
    </w:p>
    <w:p>
      <w:pPr>
        <w:pStyle w:val="384"/>
        <w:rPr>
          <w:rFonts w:ascii="黑体" w:hAnsi="黑体" w:cs="黑体"/>
        </w:rPr>
      </w:pPr>
      <w:r>
        <w:rPr>
          <w:rFonts w:hint="eastAsia" w:ascii="黑体" w:hAnsi="黑体" w:cs="黑体"/>
        </w:rPr>
        <w:t>1.3 招标范围、计划工期、承包方式、质量要求</w:t>
      </w:r>
      <w:bookmarkEnd w:id="23"/>
      <w:r>
        <w:rPr>
          <w:rFonts w:hint="eastAsia" w:ascii="黑体" w:hAnsi="黑体" w:cs="黑体"/>
        </w:rPr>
        <w:t>和安全要求</w:t>
      </w:r>
    </w:p>
    <w:p>
      <w:pPr>
        <w:spacing w:line="400" w:lineRule="exact"/>
        <w:rPr>
          <w:rFonts w:ascii="宋体" w:hAnsi="宋体" w:cs="宋体"/>
          <w:sz w:val="24"/>
        </w:rPr>
      </w:pPr>
      <w:r>
        <w:rPr>
          <w:rFonts w:hint="eastAsia" w:ascii="宋体" w:hAnsi="宋体" w:cs="宋体"/>
          <w:sz w:val="24"/>
        </w:rPr>
        <w:t>1.3.1 本次招标范围：见投标人须知前附表。</w:t>
      </w:r>
    </w:p>
    <w:p>
      <w:pPr>
        <w:spacing w:line="400" w:lineRule="exact"/>
        <w:rPr>
          <w:rFonts w:ascii="宋体" w:hAnsi="宋体" w:cs="宋体"/>
          <w:sz w:val="24"/>
        </w:rPr>
      </w:pPr>
      <w:r>
        <w:rPr>
          <w:rFonts w:hint="eastAsia" w:ascii="宋体" w:hAnsi="宋体" w:cs="宋体"/>
          <w:sz w:val="24"/>
        </w:rPr>
        <w:t>1.3.2 计划工期：见投标人须知前附表。</w:t>
      </w:r>
    </w:p>
    <w:p>
      <w:pPr>
        <w:spacing w:line="400" w:lineRule="exact"/>
        <w:rPr>
          <w:rFonts w:ascii="宋体" w:hAnsi="宋体" w:cs="宋体"/>
          <w:sz w:val="24"/>
        </w:rPr>
      </w:pPr>
      <w:r>
        <w:rPr>
          <w:rFonts w:hint="eastAsia" w:ascii="宋体" w:hAnsi="宋体" w:cs="宋体"/>
          <w:sz w:val="24"/>
        </w:rPr>
        <w:t>1.3.3 承包方式：见投标人须知前附表。</w:t>
      </w:r>
    </w:p>
    <w:p>
      <w:pPr>
        <w:spacing w:line="400" w:lineRule="exact"/>
        <w:rPr>
          <w:rFonts w:ascii="宋体" w:hAnsi="宋体" w:cs="宋体"/>
          <w:sz w:val="24"/>
        </w:rPr>
      </w:pPr>
      <w:r>
        <w:rPr>
          <w:rFonts w:hint="eastAsia" w:ascii="宋体" w:hAnsi="宋体" w:cs="宋体"/>
          <w:sz w:val="24"/>
        </w:rPr>
        <w:t>1.3.4 质量要求：见投标人须知前附表。</w:t>
      </w:r>
    </w:p>
    <w:p>
      <w:pPr>
        <w:spacing w:line="400" w:lineRule="exact"/>
        <w:rPr>
          <w:rFonts w:ascii="宋体" w:hAnsi="宋体" w:cs="宋体"/>
          <w:sz w:val="24"/>
        </w:rPr>
      </w:pPr>
      <w:r>
        <w:rPr>
          <w:rFonts w:hint="eastAsia" w:ascii="宋体" w:hAnsi="宋体" w:cs="宋体"/>
          <w:sz w:val="24"/>
        </w:rPr>
        <w:t>1.3.5 安全、文明施工要求：见投标人须知前附表。</w:t>
      </w:r>
    </w:p>
    <w:p>
      <w:pPr>
        <w:pStyle w:val="384"/>
      </w:pPr>
      <w:bookmarkStart w:id="24" w:name="_Toc179632551"/>
    </w:p>
    <w:p>
      <w:pPr>
        <w:pStyle w:val="384"/>
        <w:rPr>
          <w:rFonts w:ascii="黑体" w:hAnsi="黑体" w:cs="黑体"/>
        </w:rPr>
      </w:pPr>
      <w:r>
        <w:rPr>
          <w:rFonts w:hint="eastAsia" w:ascii="黑体" w:hAnsi="黑体" w:cs="黑体"/>
        </w:rPr>
        <w:t>1.4 投标人资格要求</w:t>
      </w:r>
      <w:bookmarkEnd w:id="24"/>
    </w:p>
    <w:p>
      <w:pPr>
        <w:spacing w:line="400" w:lineRule="exact"/>
        <w:rPr>
          <w:rFonts w:ascii="宋体" w:hAnsi="宋体" w:cs="宋体"/>
          <w:sz w:val="24"/>
        </w:rPr>
      </w:pPr>
      <w:r>
        <w:rPr>
          <w:rFonts w:hint="eastAsia" w:ascii="宋体" w:hAnsi="宋体" w:cs="宋体"/>
          <w:sz w:val="24"/>
        </w:rPr>
        <w:t>1.4.1 投标人应具备承担本工程施工的资质条件、能力和信誉</w:t>
      </w:r>
      <w:r>
        <w:rPr>
          <w:rFonts w:hint="eastAsia" w:ascii="宋体" w:hAnsi="宋体" w:cs="宋体"/>
          <w:b/>
          <w:sz w:val="24"/>
        </w:rPr>
        <w:t>详见本工程投标邀请书</w:t>
      </w:r>
      <w:r>
        <w:rPr>
          <w:rFonts w:hint="eastAsia" w:ascii="宋体" w:hAnsi="宋体" w:cs="宋体"/>
          <w:sz w:val="24"/>
        </w:rPr>
        <w:t>。</w:t>
      </w:r>
    </w:p>
    <w:p>
      <w:pPr>
        <w:spacing w:line="400" w:lineRule="exact"/>
        <w:ind w:left="720" w:hanging="720" w:hangingChars="300"/>
        <w:rPr>
          <w:rFonts w:ascii="宋体" w:hAnsi="宋体" w:cs="宋体"/>
          <w:sz w:val="24"/>
        </w:rPr>
      </w:pPr>
      <w:r>
        <w:rPr>
          <w:rFonts w:hint="eastAsia" w:ascii="宋体" w:hAnsi="宋体" w:cs="宋体"/>
          <w:sz w:val="24"/>
        </w:rPr>
        <w:t>1.4.2 投标人须知前附表规定接受联合体投标的，应符合本章第1.4.1项和投标人须知前附表的要求。</w:t>
      </w:r>
    </w:p>
    <w:p>
      <w:pPr>
        <w:spacing w:line="400" w:lineRule="exact"/>
        <w:rPr>
          <w:rFonts w:ascii="宋体" w:hAnsi="宋体" w:cs="宋体"/>
          <w:sz w:val="24"/>
        </w:rPr>
      </w:pPr>
      <w:r>
        <w:rPr>
          <w:rFonts w:hint="eastAsia" w:ascii="宋体" w:hAnsi="宋体" w:cs="宋体"/>
          <w:sz w:val="24"/>
        </w:rPr>
        <w:t>1.4.3 投标人不得存在下列情形之一：</w:t>
      </w:r>
    </w:p>
    <w:p>
      <w:pPr>
        <w:spacing w:line="400" w:lineRule="exact"/>
        <w:ind w:firstLine="600" w:firstLineChars="250"/>
        <w:rPr>
          <w:rFonts w:ascii="宋体" w:hAnsi="宋体" w:cs="宋体"/>
          <w:sz w:val="24"/>
        </w:rPr>
      </w:pPr>
      <w:r>
        <w:rPr>
          <w:rFonts w:hint="eastAsia" w:ascii="宋体" w:hAnsi="宋体" w:cs="宋体"/>
          <w:sz w:val="24"/>
        </w:rPr>
        <w:t xml:space="preserve">（1）为招标人不具有独立法人资格的附属机构（单位）； </w:t>
      </w:r>
    </w:p>
    <w:p>
      <w:pPr>
        <w:spacing w:line="400" w:lineRule="exact"/>
        <w:ind w:firstLine="600" w:firstLineChars="250"/>
        <w:rPr>
          <w:rFonts w:ascii="宋体" w:hAnsi="宋体" w:cs="宋体"/>
          <w:sz w:val="24"/>
        </w:rPr>
      </w:pPr>
      <w:r>
        <w:rPr>
          <w:rFonts w:hint="eastAsia" w:ascii="宋体" w:hAnsi="宋体" w:cs="宋体"/>
          <w:sz w:val="24"/>
        </w:rPr>
        <w:t xml:space="preserve">（2）为本招标项目前期准备提供设计或咨询服务的，但设计施工总承包的除外； </w:t>
      </w:r>
    </w:p>
    <w:p>
      <w:pPr>
        <w:spacing w:line="400" w:lineRule="exact"/>
        <w:ind w:firstLine="600" w:firstLineChars="250"/>
        <w:rPr>
          <w:rFonts w:ascii="宋体" w:hAnsi="宋体" w:cs="宋体"/>
          <w:sz w:val="24"/>
        </w:rPr>
      </w:pPr>
      <w:r>
        <w:rPr>
          <w:rFonts w:hint="eastAsia" w:ascii="宋体" w:hAnsi="宋体" w:cs="宋体"/>
          <w:sz w:val="24"/>
        </w:rPr>
        <w:t>（3）为本招标项目的监理人；</w:t>
      </w:r>
    </w:p>
    <w:p>
      <w:pPr>
        <w:spacing w:line="400" w:lineRule="exact"/>
        <w:ind w:firstLine="600" w:firstLineChars="250"/>
        <w:rPr>
          <w:rFonts w:ascii="宋体" w:hAnsi="宋体" w:cs="宋体"/>
          <w:sz w:val="24"/>
        </w:rPr>
      </w:pPr>
      <w:r>
        <w:rPr>
          <w:rFonts w:hint="eastAsia" w:ascii="宋体" w:hAnsi="宋体" w:cs="宋体"/>
          <w:sz w:val="24"/>
        </w:rPr>
        <w:t xml:space="preserve">（4）为本招标项目的代建人； </w:t>
      </w:r>
    </w:p>
    <w:p>
      <w:pPr>
        <w:spacing w:line="400" w:lineRule="exact"/>
        <w:ind w:firstLine="600" w:firstLineChars="250"/>
        <w:rPr>
          <w:rFonts w:ascii="宋体" w:hAnsi="宋体" w:cs="宋体"/>
          <w:sz w:val="24"/>
        </w:rPr>
      </w:pPr>
      <w:r>
        <w:rPr>
          <w:rFonts w:hint="eastAsia" w:ascii="宋体" w:hAnsi="宋体" w:cs="宋体"/>
          <w:sz w:val="24"/>
        </w:rPr>
        <w:t xml:space="preserve">（5）为本招标项目提供招标代理服务的； </w:t>
      </w:r>
    </w:p>
    <w:p>
      <w:pPr>
        <w:spacing w:line="400" w:lineRule="exact"/>
        <w:ind w:firstLine="600" w:firstLineChars="250"/>
        <w:rPr>
          <w:rFonts w:ascii="宋体" w:hAnsi="宋体" w:cs="宋体"/>
          <w:sz w:val="24"/>
        </w:rPr>
      </w:pPr>
      <w:r>
        <w:rPr>
          <w:rFonts w:hint="eastAsia" w:ascii="宋体" w:hAnsi="宋体" w:cs="宋体"/>
          <w:sz w:val="24"/>
        </w:rPr>
        <w:t>（6）与本招标项目的监理人或代建人或招标代理机构同为一个法定代表人的；</w:t>
      </w:r>
    </w:p>
    <w:p>
      <w:pPr>
        <w:spacing w:line="400" w:lineRule="exact"/>
        <w:ind w:firstLine="600" w:firstLineChars="250"/>
        <w:rPr>
          <w:rFonts w:ascii="宋体" w:hAnsi="宋体" w:cs="宋体"/>
          <w:sz w:val="24"/>
        </w:rPr>
      </w:pPr>
      <w:r>
        <w:rPr>
          <w:rFonts w:hint="eastAsia" w:ascii="宋体" w:hAnsi="宋体" w:cs="宋体"/>
          <w:sz w:val="24"/>
        </w:rPr>
        <w:t>（7）与本招标项目的监理人或代建人或招标代理机构相互控股或参股的；</w:t>
      </w:r>
    </w:p>
    <w:p>
      <w:pPr>
        <w:spacing w:line="400" w:lineRule="exact"/>
        <w:ind w:firstLine="600" w:firstLineChars="250"/>
        <w:rPr>
          <w:sz w:val="24"/>
        </w:rPr>
      </w:pPr>
      <w:r>
        <w:rPr>
          <w:rFonts w:hint="eastAsia" w:ascii="宋体" w:hAnsi="宋体" w:cs="宋体"/>
          <w:sz w:val="24"/>
        </w:rPr>
        <w:t>（8）与本招标项目的监理人或代建人或招标代理机构相互任职或工作的</w:t>
      </w:r>
      <w:bookmarkStart w:id="25" w:name="_Toc179632552"/>
      <w:r>
        <w:rPr>
          <w:rFonts w:hint="eastAsia" w:ascii="宋体" w:hAnsi="宋体" w:cs="宋体"/>
          <w:sz w:val="24"/>
        </w:rPr>
        <w:t>。</w:t>
      </w:r>
    </w:p>
    <w:p>
      <w:pPr>
        <w:pStyle w:val="384"/>
        <w:rPr>
          <w:rFonts w:ascii="黑体" w:hAnsi="黑体"/>
        </w:rPr>
      </w:pPr>
    </w:p>
    <w:p>
      <w:pPr>
        <w:pStyle w:val="384"/>
        <w:rPr>
          <w:rFonts w:ascii="黑体" w:hAnsi="黑体"/>
        </w:rPr>
      </w:pPr>
      <w:r>
        <w:rPr>
          <w:rFonts w:hint="eastAsia" w:ascii="黑体" w:hAnsi="黑体"/>
        </w:rPr>
        <w:t>1.5 费用承担</w:t>
      </w:r>
      <w:bookmarkEnd w:id="25"/>
    </w:p>
    <w:p>
      <w:pPr>
        <w:spacing w:line="400" w:lineRule="exact"/>
        <w:ind w:firstLine="480" w:firstLineChars="200"/>
        <w:rPr>
          <w:sz w:val="24"/>
        </w:rPr>
      </w:pPr>
      <w:r>
        <w:rPr>
          <w:rFonts w:hint="eastAsia"/>
          <w:sz w:val="24"/>
        </w:rPr>
        <w:t>投标人准备和参加投标活动发生的费用自理。</w:t>
      </w:r>
    </w:p>
    <w:p>
      <w:pPr>
        <w:pStyle w:val="384"/>
        <w:rPr>
          <w:rFonts w:ascii="黑体" w:hAnsi="黑体"/>
        </w:rPr>
      </w:pPr>
      <w:bookmarkStart w:id="26" w:name="_Toc179632553"/>
    </w:p>
    <w:p>
      <w:pPr>
        <w:pStyle w:val="384"/>
        <w:rPr>
          <w:rFonts w:ascii="黑体" w:hAnsi="黑体"/>
        </w:rPr>
      </w:pPr>
      <w:r>
        <w:rPr>
          <w:rFonts w:hint="eastAsia" w:ascii="黑体" w:hAnsi="黑体"/>
        </w:rPr>
        <w:t>1.6 保密</w:t>
      </w:r>
      <w:bookmarkEnd w:id="26"/>
    </w:p>
    <w:p>
      <w:pPr>
        <w:spacing w:line="400" w:lineRule="exact"/>
        <w:ind w:left="478" w:leftChars="228"/>
        <w:rPr>
          <w:sz w:val="24"/>
        </w:rPr>
      </w:pPr>
      <w:r>
        <w:rPr>
          <w:rFonts w:hint="eastAsia"/>
          <w:sz w:val="24"/>
        </w:rPr>
        <w:t xml:space="preserve">参与招标投标活动的各方应对招标文件和投标文件中的商业和技术等秘密保密，违者 应对由此造成的后果承担法律责任。 </w:t>
      </w:r>
    </w:p>
    <w:p>
      <w:pPr>
        <w:pStyle w:val="384"/>
        <w:rPr>
          <w:rFonts w:ascii="黑体" w:hAnsi="黑体"/>
        </w:rPr>
      </w:pPr>
      <w:bookmarkStart w:id="27" w:name="_Toc179632554"/>
    </w:p>
    <w:p>
      <w:pPr>
        <w:pStyle w:val="384"/>
        <w:rPr>
          <w:rFonts w:ascii="黑体" w:hAnsi="黑体"/>
        </w:rPr>
      </w:pPr>
      <w:r>
        <w:rPr>
          <w:rFonts w:hint="eastAsia" w:ascii="黑体" w:hAnsi="黑体"/>
        </w:rPr>
        <w:t>1.7 语言文字</w:t>
      </w:r>
      <w:bookmarkEnd w:id="27"/>
    </w:p>
    <w:p>
      <w:pPr>
        <w:spacing w:line="400" w:lineRule="exact"/>
        <w:ind w:firstLine="480" w:firstLineChars="200"/>
        <w:rPr>
          <w:sz w:val="24"/>
        </w:rPr>
      </w:pPr>
      <w:r>
        <w:rPr>
          <w:rFonts w:hint="eastAsia"/>
          <w:sz w:val="24"/>
        </w:rPr>
        <w:t>招标投标文件使用的语言文字为中文。专用术语使用外文的，应附有中文注释。</w:t>
      </w:r>
    </w:p>
    <w:p>
      <w:pPr>
        <w:pStyle w:val="384"/>
        <w:rPr>
          <w:rFonts w:ascii="黑体" w:hAnsi="黑体"/>
        </w:rPr>
      </w:pPr>
      <w:bookmarkStart w:id="28" w:name="_Toc179632555"/>
    </w:p>
    <w:p>
      <w:pPr>
        <w:pStyle w:val="384"/>
        <w:rPr>
          <w:rFonts w:ascii="黑体" w:hAnsi="黑体"/>
        </w:rPr>
      </w:pPr>
      <w:r>
        <w:rPr>
          <w:rFonts w:hint="eastAsia" w:ascii="黑体" w:hAnsi="黑体"/>
        </w:rPr>
        <w:t>1.8 计量单位</w:t>
      </w:r>
      <w:bookmarkEnd w:id="28"/>
    </w:p>
    <w:p>
      <w:pPr>
        <w:spacing w:line="400" w:lineRule="exact"/>
        <w:ind w:firstLine="480" w:firstLineChars="200"/>
        <w:rPr>
          <w:sz w:val="24"/>
        </w:rPr>
      </w:pPr>
      <w:r>
        <w:rPr>
          <w:rFonts w:hint="eastAsia"/>
          <w:sz w:val="24"/>
        </w:rPr>
        <w:t>所有计量均采用中华人民共和国法定计量单位。</w:t>
      </w:r>
    </w:p>
    <w:p>
      <w:pPr>
        <w:pStyle w:val="384"/>
        <w:rPr>
          <w:rFonts w:ascii="黑体" w:hAnsi="黑体"/>
        </w:rPr>
      </w:pPr>
      <w:bookmarkStart w:id="29" w:name="_Toc179632556"/>
    </w:p>
    <w:p>
      <w:pPr>
        <w:pStyle w:val="384"/>
        <w:rPr>
          <w:rFonts w:ascii="黑体" w:hAnsi="黑体"/>
        </w:rPr>
      </w:pPr>
      <w:r>
        <w:rPr>
          <w:rFonts w:hint="eastAsia" w:ascii="黑体" w:hAnsi="黑体"/>
        </w:rPr>
        <w:t>1.9 踏勘现场</w:t>
      </w:r>
      <w:bookmarkEnd w:id="29"/>
    </w:p>
    <w:p>
      <w:pPr>
        <w:spacing w:line="400" w:lineRule="exact"/>
        <w:ind w:left="720" w:hanging="720" w:hangingChars="300"/>
        <w:rPr>
          <w:rFonts w:ascii="宋体" w:hAnsi="宋体"/>
          <w:sz w:val="24"/>
        </w:rPr>
      </w:pPr>
      <w:r>
        <w:rPr>
          <w:rFonts w:hint="eastAsia" w:ascii="宋体" w:hAnsi="宋体"/>
          <w:sz w:val="24"/>
        </w:rPr>
        <w:t xml:space="preserve">1.9.1不统一组织踏勘现场，投标人可根据需要自行到项目现场进行踏勘。 </w:t>
      </w:r>
    </w:p>
    <w:p>
      <w:pPr>
        <w:spacing w:line="400" w:lineRule="exact"/>
        <w:rPr>
          <w:rFonts w:ascii="宋体" w:hAnsi="宋体"/>
          <w:sz w:val="24"/>
        </w:rPr>
      </w:pPr>
      <w:r>
        <w:rPr>
          <w:rFonts w:hint="eastAsia" w:ascii="宋体" w:hAnsi="宋体"/>
          <w:sz w:val="24"/>
        </w:rPr>
        <w:t>1.9.2 投标人踏勘现场发生的费用自理。</w:t>
      </w:r>
    </w:p>
    <w:p>
      <w:pPr>
        <w:spacing w:line="400" w:lineRule="exact"/>
        <w:ind w:left="720" w:hanging="720" w:hangingChars="300"/>
        <w:rPr>
          <w:rFonts w:ascii="宋体" w:hAnsi="宋体"/>
          <w:sz w:val="24"/>
        </w:rPr>
      </w:pPr>
      <w:r>
        <w:rPr>
          <w:rFonts w:hint="eastAsia" w:ascii="宋体" w:hAnsi="宋体"/>
          <w:sz w:val="24"/>
        </w:rPr>
        <w:t>1.9.3招标人在踏勘现场中介绍的工程场地和相关的周边环境情况，供投标人在编制投标文件时参考，招标人不对投标人据此作出的判断和决策负责。</w:t>
      </w:r>
    </w:p>
    <w:p>
      <w:pPr>
        <w:pStyle w:val="384"/>
        <w:rPr>
          <w:rFonts w:ascii="黑体" w:hAnsi="黑体"/>
        </w:rPr>
      </w:pPr>
      <w:bookmarkStart w:id="30" w:name="_Toc179632557"/>
    </w:p>
    <w:p>
      <w:pPr>
        <w:pStyle w:val="384"/>
        <w:rPr>
          <w:rFonts w:ascii="黑体" w:hAnsi="黑体"/>
        </w:rPr>
      </w:pPr>
      <w:r>
        <w:rPr>
          <w:rFonts w:hint="eastAsia" w:ascii="黑体" w:hAnsi="黑体"/>
        </w:rPr>
        <w:t>1.10 投标预备会</w:t>
      </w:r>
      <w:bookmarkEnd w:id="30"/>
    </w:p>
    <w:p>
      <w:pPr>
        <w:pStyle w:val="384"/>
        <w:rPr>
          <w:rFonts w:ascii="宋体" w:hAnsi="宋体" w:eastAsia="宋体"/>
        </w:rPr>
      </w:pPr>
      <w:bookmarkStart w:id="31" w:name="_Toc179632558"/>
      <w:r>
        <w:rPr>
          <w:rFonts w:hint="eastAsia" w:ascii="宋体" w:hAnsi="宋体" w:eastAsia="宋体"/>
        </w:rPr>
        <w:t>不召开。</w:t>
      </w:r>
    </w:p>
    <w:p>
      <w:pPr>
        <w:pStyle w:val="384"/>
        <w:rPr>
          <w:rFonts w:ascii="黑体" w:hAnsi="黑体"/>
        </w:rPr>
      </w:pPr>
    </w:p>
    <w:p>
      <w:pPr>
        <w:pStyle w:val="384"/>
        <w:rPr>
          <w:rFonts w:ascii="黑体" w:hAnsi="黑体"/>
        </w:rPr>
      </w:pPr>
      <w:r>
        <w:rPr>
          <w:rFonts w:hint="eastAsia" w:ascii="黑体" w:hAnsi="黑体"/>
        </w:rPr>
        <w:t>1.11分包</w:t>
      </w:r>
      <w:bookmarkEnd w:id="31"/>
    </w:p>
    <w:p>
      <w:pPr>
        <w:spacing w:line="400" w:lineRule="exact"/>
        <w:ind w:left="478" w:leftChars="228"/>
        <w:rPr>
          <w:sz w:val="24"/>
        </w:rPr>
      </w:pPr>
      <w:r>
        <w:rPr>
          <w:rFonts w:hint="eastAsia"/>
          <w:sz w:val="24"/>
        </w:rPr>
        <w:t>投标人拟在中标后将中标项目的部分非主体、非关键性工作进行分包的，应符合投标人须知前附表规定的分包内容、分包金额和接受分包的第三人资质要求等限制性条件。</w:t>
      </w:r>
    </w:p>
    <w:p>
      <w:pPr>
        <w:pStyle w:val="384"/>
      </w:pPr>
      <w:bookmarkStart w:id="32" w:name="_Toc179632559"/>
    </w:p>
    <w:p>
      <w:pPr>
        <w:pStyle w:val="384"/>
        <w:rPr>
          <w:rFonts w:ascii="黑体" w:hAnsi="黑体"/>
        </w:rPr>
      </w:pPr>
      <w:r>
        <w:rPr>
          <w:rFonts w:hint="eastAsia" w:ascii="黑体" w:hAnsi="黑体"/>
        </w:rPr>
        <w:t>1.12 偏离</w:t>
      </w:r>
      <w:bookmarkEnd w:id="32"/>
    </w:p>
    <w:p>
      <w:pPr>
        <w:spacing w:line="400" w:lineRule="exact"/>
        <w:ind w:left="478" w:leftChars="228"/>
        <w:rPr>
          <w:sz w:val="24"/>
        </w:rPr>
      </w:pPr>
      <w:r>
        <w:rPr>
          <w:rFonts w:hint="eastAsia"/>
          <w:sz w:val="24"/>
        </w:rPr>
        <w:t>投标人须知前附表允许投标文件偏离招标文件某些要求的，偏离应当符合招标文件规定的偏离范围和幅度。</w:t>
      </w:r>
    </w:p>
    <w:p>
      <w:pPr>
        <w:pStyle w:val="387"/>
        <w:spacing w:before="0"/>
      </w:pPr>
      <w:bookmarkStart w:id="33" w:name="_Toc179632560"/>
    </w:p>
    <w:p>
      <w:pPr>
        <w:pStyle w:val="387"/>
        <w:spacing w:before="0"/>
        <w:rPr>
          <w:rFonts w:ascii="黑体" w:hAnsi="黑体"/>
        </w:rPr>
      </w:pPr>
      <w:r>
        <w:rPr>
          <w:rFonts w:hint="eastAsia" w:ascii="黑体" w:hAnsi="黑体"/>
        </w:rPr>
        <w:t>2. 招标文件</w:t>
      </w:r>
      <w:bookmarkEnd w:id="33"/>
    </w:p>
    <w:p>
      <w:pPr>
        <w:pStyle w:val="384"/>
        <w:rPr>
          <w:rFonts w:ascii="黑体" w:hAnsi="黑体"/>
        </w:rPr>
      </w:pPr>
      <w:bookmarkStart w:id="34" w:name="_Toc179632561"/>
      <w:r>
        <w:rPr>
          <w:rFonts w:hint="eastAsia" w:ascii="黑体" w:hAnsi="黑体"/>
        </w:rPr>
        <w:t>2.1 招标文件的组成</w:t>
      </w:r>
      <w:bookmarkEnd w:id="34"/>
    </w:p>
    <w:p>
      <w:pPr>
        <w:spacing w:line="400" w:lineRule="exact"/>
        <w:ind w:firstLine="480" w:firstLineChars="200"/>
        <w:rPr>
          <w:rFonts w:ascii="宋体" w:hAnsi="宋体"/>
          <w:sz w:val="24"/>
        </w:rPr>
      </w:pPr>
      <w:r>
        <w:rPr>
          <w:rFonts w:hint="eastAsia" w:ascii="宋体" w:hAnsi="宋体"/>
          <w:sz w:val="24"/>
        </w:rPr>
        <w:t>本招标文件包括：</w:t>
      </w:r>
    </w:p>
    <w:p>
      <w:pPr>
        <w:spacing w:line="400" w:lineRule="exact"/>
        <w:ind w:firstLine="480" w:firstLineChars="200"/>
        <w:rPr>
          <w:rFonts w:ascii="宋体" w:hAnsi="宋体"/>
          <w:sz w:val="24"/>
        </w:rPr>
      </w:pPr>
      <w:r>
        <w:rPr>
          <w:rFonts w:hint="eastAsia" w:ascii="宋体" w:hAnsi="宋体"/>
          <w:sz w:val="24"/>
        </w:rPr>
        <w:t>（1）投标邀请书；</w:t>
      </w:r>
    </w:p>
    <w:p>
      <w:pPr>
        <w:spacing w:line="400" w:lineRule="exact"/>
        <w:ind w:firstLine="480" w:firstLineChars="200"/>
        <w:rPr>
          <w:rFonts w:ascii="宋体" w:hAnsi="宋体"/>
          <w:sz w:val="24"/>
        </w:rPr>
      </w:pPr>
      <w:r>
        <w:rPr>
          <w:rFonts w:hint="eastAsia" w:ascii="宋体" w:hAnsi="宋体"/>
          <w:sz w:val="24"/>
        </w:rPr>
        <w:t>（2）投标人须知；</w:t>
      </w:r>
    </w:p>
    <w:p>
      <w:pPr>
        <w:spacing w:line="400" w:lineRule="exact"/>
        <w:ind w:firstLine="480" w:firstLineChars="200"/>
        <w:rPr>
          <w:rFonts w:ascii="宋体" w:hAnsi="宋体"/>
          <w:sz w:val="24"/>
        </w:rPr>
      </w:pPr>
      <w:r>
        <w:rPr>
          <w:rFonts w:hint="eastAsia" w:ascii="宋体" w:hAnsi="宋体"/>
          <w:sz w:val="24"/>
        </w:rPr>
        <w:t>（3）评标办法；</w:t>
      </w:r>
    </w:p>
    <w:p>
      <w:pPr>
        <w:spacing w:line="400" w:lineRule="exact"/>
        <w:ind w:firstLine="480" w:firstLineChars="200"/>
        <w:rPr>
          <w:rFonts w:ascii="宋体" w:hAnsi="宋体"/>
          <w:sz w:val="24"/>
        </w:rPr>
      </w:pPr>
      <w:r>
        <w:rPr>
          <w:rFonts w:hint="eastAsia" w:ascii="宋体" w:hAnsi="宋体"/>
          <w:sz w:val="24"/>
        </w:rPr>
        <w:t>（4）合同条款及格式；</w:t>
      </w:r>
    </w:p>
    <w:p>
      <w:pPr>
        <w:spacing w:line="400" w:lineRule="exact"/>
        <w:ind w:firstLine="480" w:firstLineChars="200"/>
        <w:rPr>
          <w:rFonts w:ascii="宋体" w:hAnsi="宋体"/>
          <w:sz w:val="24"/>
        </w:rPr>
      </w:pPr>
      <w:r>
        <w:rPr>
          <w:rFonts w:hint="eastAsia" w:ascii="宋体" w:hAnsi="宋体"/>
          <w:sz w:val="24"/>
        </w:rPr>
        <w:t>（5）图纸；</w:t>
      </w:r>
    </w:p>
    <w:p>
      <w:pPr>
        <w:spacing w:line="400" w:lineRule="exact"/>
        <w:ind w:firstLine="480" w:firstLineChars="200"/>
        <w:rPr>
          <w:rFonts w:ascii="宋体" w:hAnsi="宋体"/>
          <w:sz w:val="24"/>
        </w:rPr>
      </w:pPr>
      <w:r>
        <w:rPr>
          <w:rFonts w:hint="eastAsia" w:ascii="宋体" w:hAnsi="宋体"/>
          <w:sz w:val="24"/>
        </w:rPr>
        <w:t xml:space="preserve">（6）技术标准和要求； </w:t>
      </w:r>
    </w:p>
    <w:p>
      <w:pPr>
        <w:spacing w:line="400" w:lineRule="exact"/>
        <w:ind w:firstLine="480" w:firstLineChars="200"/>
        <w:rPr>
          <w:rFonts w:ascii="宋体" w:hAnsi="宋体"/>
          <w:sz w:val="24"/>
        </w:rPr>
      </w:pPr>
      <w:r>
        <w:rPr>
          <w:rFonts w:hint="eastAsia" w:ascii="宋体" w:hAnsi="宋体"/>
          <w:sz w:val="24"/>
        </w:rPr>
        <w:t>（7）投标文件格式；</w:t>
      </w:r>
    </w:p>
    <w:p>
      <w:pPr>
        <w:spacing w:line="400" w:lineRule="exact"/>
        <w:ind w:left="478" w:leftChars="228"/>
        <w:rPr>
          <w:sz w:val="24"/>
        </w:rPr>
      </w:pPr>
      <w:r>
        <w:rPr>
          <w:rFonts w:hint="eastAsia" w:ascii="宋体" w:hAnsi="宋体"/>
          <w:sz w:val="24"/>
        </w:rPr>
        <w:t>根据本章第2.2款和第2.3款对招标文件所作的澄清、修改、补充，构成招标文件的组成部分。</w:t>
      </w:r>
    </w:p>
    <w:p>
      <w:pPr>
        <w:pStyle w:val="384"/>
      </w:pPr>
      <w:bookmarkStart w:id="35" w:name="_Toc179632562"/>
    </w:p>
    <w:p>
      <w:pPr>
        <w:pStyle w:val="384"/>
        <w:rPr>
          <w:rFonts w:ascii="黑体" w:hAnsi="黑体"/>
        </w:rPr>
      </w:pPr>
      <w:r>
        <w:rPr>
          <w:rFonts w:hint="eastAsia" w:ascii="黑体" w:hAnsi="黑体"/>
        </w:rPr>
        <w:t>2.2 招标文件的澄清</w:t>
      </w:r>
      <w:bookmarkEnd w:id="35"/>
      <w:r>
        <w:rPr>
          <w:rFonts w:hint="eastAsia" w:ascii="黑体" w:hAnsi="黑体"/>
        </w:rPr>
        <w:t>（答疑）</w:t>
      </w:r>
    </w:p>
    <w:p>
      <w:pPr>
        <w:spacing w:line="400" w:lineRule="exact"/>
        <w:ind w:left="720" w:hanging="720" w:hangingChars="300"/>
        <w:rPr>
          <w:rFonts w:ascii="宋体" w:hAnsi="宋体"/>
          <w:sz w:val="24"/>
        </w:rPr>
      </w:pPr>
      <w:r>
        <w:rPr>
          <w:rFonts w:hint="eastAsia" w:ascii="宋体" w:hAnsi="宋体"/>
          <w:sz w:val="24"/>
        </w:rPr>
        <w:t>2.2.1投标人应仔细阅读和检查招标文件的全部内容。如发现缺页或附件不全，应及时向招标人提出，以便补齐。如有疑问，应在投标人须知前附表规定的时间前在“佛山市公共资源交易信息化综合平台建设工程网上交易系统”提出，要求招标人对招标文件予以澄清。</w:t>
      </w:r>
    </w:p>
    <w:p>
      <w:pPr>
        <w:spacing w:line="400" w:lineRule="exact"/>
        <w:ind w:left="720" w:hanging="720" w:hangingChars="300"/>
        <w:rPr>
          <w:rFonts w:ascii="宋体" w:hAnsi="宋体"/>
          <w:sz w:val="24"/>
        </w:rPr>
      </w:pPr>
      <w:r>
        <w:rPr>
          <w:rFonts w:hint="eastAsia" w:ascii="宋体" w:hAnsi="宋体"/>
          <w:sz w:val="24"/>
        </w:rPr>
        <w:t>2.2.2 招标文件的澄清（答疑）将上传至“佛山市公共资源交易信息化综合平台建设工程网上交易系统”供投标人下载，但不指明澄清问题的来源。如果澄清发出的时间距投标人须知前附表规定的投标截止时间不足15天，并且澄清内容影响投标文件编制的，将相应延长投标截止时间。</w:t>
      </w:r>
    </w:p>
    <w:p>
      <w:pPr>
        <w:spacing w:line="400" w:lineRule="exact"/>
        <w:ind w:left="720" w:hanging="720" w:hangingChars="300"/>
        <w:rPr>
          <w:rFonts w:ascii="宋体" w:hAnsi="宋体"/>
          <w:sz w:val="24"/>
        </w:rPr>
      </w:pPr>
      <w:r>
        <w:rPr>
          <w:rFonts w:hint="eastAsia" w:ascii="宋体" w:hAnsi="宋体"/>
          <w:sz w:val="24"/>
        </w:rPr>
        <w:t>2.2.3 招标文件的澄清（答疑）文件一经在“佛山市公共资源交易信息化综合平台建设工程网上交易系统”发布，即视作已发放给所有投标人。当同一内容表述出现不一致时，以最后发布的内容为准。</w:t>
      </w:r>
    </w:p>
    <w:p>
      <w:pPr>
        <w:pStyle w:val="384"/>
      </w:pPr>
      <w:bookmarkStart w:id="36" w:name="_Toc179632563"/>
    </w:p>
    <w:p>
      <w:pPr>
        <w:pStyle w:val="384"/>
        <w:rPr>
          <w:rFonts w:ascii="黑体" w:hAnsi="黑体"/>
        </w:rPr>
      </w:pPr>
      <w:r>
        <w:rPr>
          <w:rFonts w:hint="eastAsia" w:ascii="黑体" w:hAnsi="黑体"/>
        </w:rPr>
        <w:t>2.3 招标文件的修改</w:t>
      </w:r>
      <w:bookmarkEnd w:id="36"/>
      <w:r>
        <w:rPr>
          <w:rFonts w:hint="eastAsia" w:ascii="黑体" w:hAnsi="黑体"/>
        </w:rPr>
        <w:t>、补充</w:t>
      </w:r>
    </w:p>
    <w:p>
      <w:pPr>
        <w:spacing w:line="400" w:lineRule="exact"/>
        <w:ind w:left="720" w:hanging="720" w:hangingChars="300"/>
        <w:rPr>
          <w:rFonts w:ascii="宋体" w:hAnsi="宋体"/>
          <w:sz w:val="24"/>
        </w:rPr>
      </w:pPr>
      <w:r>
        <w:rPr>
          <w:rFonts w:hint="eastAsia" w:ascii="宋体" w:hAnsi="宋体"/>
          <w:sz w:val="24"/>
        </w:rPr>
        <w:t>2.3.1招标文件发出后，招标人可以对招标文件进行必要的修改或补充，并上传至“佛山市公共资源交易信息化综合平台建设工程网上交易系统”供投标人下载。但如果修改或补充招标文件的时间距投标截止时间不足15天，并且修改或补充内容影响投标文件编制的，将相应延长投标截止时间。</w:t>
      </w:r>
    </w:p>
    <w:p>
      <w:pPr>
        <w:spacing w:line="400" w:lineRule="exact"/>
        <w:ind w:left="720" w:hanging="720" w:hangingChars="300"/>
        <w:rPr>
          <w:rFonts w:ascii="宋体" w:hAnsi="宋体"/>
          <w:sz w:val="24"/>
        </w:rPr>
      </w:pPr>
      <w:r>
        <w:rPr>
          <w:rFonts w:hint="eastAsia" w:ascii="宋体" w:hAnsi="宋体"/>
          <w:sz w:val="24"/>
        </w:rPr>
        <w:t>2.3.2招标澄清（答疑）文件一经在佛山市公共资源交易网发布，视作已发放给所有投标人。</w:t>
      </w:r>
    </w:p>
    <w:p>
      <w:pPr>
        <w:spacing w:line="400" w:lineRule="exact"/>
        <w:ind w:left="720" w:hanging="720" w:hangingChars="300"/>
        <w:rPr>
          <w:rFonts w:ascii="宋体" w:hAnsi="宋体"/>
          <w:sz w:val="24"/>
        </w:rPr>
      </w:pPr>
    </w:p>
    <w:p>
      <w:pPr>
        <w:spacing w:line="400" w:lineRule="exact"/>
        <w:ind w:left="720" w:hanging="720" w:hangingChars="300"/>
        <w:rPr>
          <w:rFonts w:ascii="黑体" w:hAnsi="黑体" w:eastAsia="黑体"/>
          <w:sz w:val="24"/>
        </w:rPr>
      </w:pPr>
      <w:r>
        <w:rPr>
          <w:rFonts w:hint="eastAsia" w:ascii="黑体" w:hAnsi="黑体" w:eastAsia="黑体"/>
          <w:sz w:val="24"/>
        </w:rPr>
        <w:t>2.4 招标文件的效力</w:t>
      </w:r>
    </w:p>
    <w:p>
      <w:pPr>
        <w:spacing w:line="400" w:lineRule="exact"/>
        <w:rPr>
          <w:rFonts w:ascii="宋体" w:hAnsi="宋体"/>
          <w:sz w:val="24"/>
        </w:rPr>
      </w:pPr>
      <w:r>
        <w:rPr>
          <w:rFonts w:hint="eastAsia" w:ascii="宋体" w:hAnsi="宋体"/>
          <w:sz w:val="24"/>
        </w:rPr>
        <w:t>2.4.1招标文件（含澄清、补充、修改等）须经区公共资源交易管理机构备案。</w:t>
      </w:r>
    </w:p>
    <w:p>
      <w:pPr>
        <w:spacing w:line="400" w:lineRule="exact"/>
        <w:ind w:left="720" w:hanging="720" w:hangingChars="300"/>
        <w:rPr>
          <w:rFonts w:ascii="宋体" w:hAnsi="宋体"/>
          <w:sz w:val="24"/>
        </w:rPr>
      </w:pPr>
      <w:r>
        <w:rPr>
          <w:rFonts w:hint="eastAsia" w:ascii="宋体" w:hAnsi="宋体"/>
          <w:sz w:val="24"/>
        </w:rPr>
        <w:t>2.4.2 招标文件是招标人发出的</w:t>
      </w:r>
      <w:r>
        <w:rPr>
          <w:rFonts w:ascii="宋体" w:hAnsi="宋体"/>
          <w:sz w:val="24"/>
        </w:rPr>
        <w:t>要约</w:t>
      </w:r>
      <w:r>
        <w:rPr>
          <w:rFonts w:hint="eastAsia" w:ascii="宋体" w:hAnsi="宋体"/>
          <w:sz w:val="24"/>
        </w:rPr>
        <w:t>邀请，投标人参加投标均视为承认投标邀请书、招标文件及附件的所有条款</w:t>
      </w:r>
      <w:r>
        <w:rPr>
          <w:rFonts w:ascii="宋体" w:hAnsi="宋体"/>
          <w:sz w:val="24"/>
        </w:rPr>
        <w:t>,</w:t>
      </w:r>
      <w:r>
        <w:rPr>
          <w:rFonts w:hint="eastAsia" w:ascii="宋体" w:hAnsi="宋体"/>
          <w:sz w:val="24"/>
        </w:rPr>
        <w:t>并承诺一旦中标将按招标文件、投标文件、合同条款、技术规范要求的质量和进度完成全部委托任务。</w:t>
      </w:r>
    </w:p>
    <w:p>
      <w:pPr>
        <w:spacing w:line="400" w:lineRule="exact"/>
        <w:ind w:left="722" w:leftChars="1" w:hanging="720" w:hangingChars="300"/>
        <w:rPr>
          <w:rFonts w:ascii="宋体" w:hAnsi="宋体"/>
          <w:sz w:val="24"/>
        </w:rPr>
      </w:pPr>
      <w:r>
        <w:rPr>
          <w:rFonts w:hint="eastAsia" w:ascii="宋体" w:hAnsi="宋体"/>
          <w:sz w:val="24"/>
        </w:rPr>
        <w:t>2.4.3 招标人（或招标代理机构）南海建设工程交易中心网站发布的补充文件、修改文件及答疑文件与本工程的招标文件一样具有同等效力。</w:t>
      </w:r>
    </w:p>
    <w:p>
      <w:pPr>
        <w:spacing w:line="400" w:lineRule="exact"/>
        <w:ind w:left="720" w:hanging="720" w:hangingChars="300"/>
        <w:rPr>
          <w:rFonts w:ascii="宋体" w:hAnsi="宋体"/>
          <w:sz w:val="24"/>
        </w:rPr>
      </w:pPr>
      <w:r>
        <w:rPr>
          <w:rFonts w:hint="eastAsia" w:ascii="宋体" w:hAnsi="宋体"/>
          <w:sz w:val="24"/>
        </w:rPr>
        <w:t>2.4.4 招标人（或招标代理机构）通过交易服务机构公开登载的文件，与盖章发出的文件一样具有同等效力。</w:t>
      </w:r>
    </w:p>
    <w:p>
      <w:pPr>
        <w:pStyle w:val="387"/>
        <w:spacing w:before="0"/>
      </w:pPr>
      <w:bookmarkStart w:id="37" w:name="_Toc179632564"/>
    </w:p>
    <w:p>
      <w:pPr>
        <w:pStyle w:val="387"/>
        <w:spacing w:before="0"/>
        <w:rPr>
          <w:rFonts w:ascii="黑体" w:hAnsi="黑体"/>
        </w:rPr>
      </w:pPr>
      <w:r>
        <w:rPr>
          <w:rFonts w:hint="eastAsia" w:ascii="黑体" w:hAnsi="黑体"/>
        </w:rPr>
        <w:t>3. 投标文件</w:t>
      </w:r>
      <w:bookmarkEnd w:id="37"/>
    </w:p>
    <w:p>
      <w:pPr>
        <w:pStyle w:val="384"/>
        <w:rPr>
          <w:rFonts w:ascii="黑体" w:hAnsi="黑体"/>
        </w:rPr>
      </w:pPr>
      <w:bookmarkStart w:id="38" w:name="_Toc179632565"/>
      <w:r>
        <w:rPr>
          <w:rFonts w:hint="eastAsia" w:ascii="黑体" w:hAnsi="黑体"/>
          <w:b/>
        </w:rPr>
        <w:t>3.1 投标文件的组成（适用于一般性工程）</w:t>
      </w:r>
    </w:p>
    <w:p>
      <w:pPr>
        <w:spacing w:line="400" w:lineRule="exact"/>
        <w:rPr>
          <w:rFonts w:ascii="宋体" w:hAnsi="宋体"/>
          <w:b/>
          <w:sz w:val="24"/>
        </w:rPr>
      </w:pPr>
      <w:r>
        <w:rPr>
          <w:rFonts w:hint="eastAsia" w:ascii="宋体" w:hAnsi="宋体"/>
          <w:b/>
          <w:sz w:val="24"/>
        </w:rPr>
        <w:t>3.1.1 投标文件由投标文件、投标文件电子版组成，应装订成册。</w:t>
      </w:r>
    </w:p>
    <w:p>
      <w:pPr>
        <w:spacing w:line="400" w:lineRule="exact"/>
        <w:rPr>
          <w:rFonts w:ascii="宋体" w:hAnsi="宋体"/>
          <w:b/>
          <w:sz w:val="24"/>
        </w:rPr>
      </w:pPr>
      <w:r>
        <w:rPr>
          <w:rFonts w:hint="eastAsia" w:ascii="宋体" w:hAnsi="宋体"/>
          <w:b/>
          <w:sz w:val="24"/>
        </w:rPr>
        <w:t>3.1.2 投标文件应包括的内容：（详见《第七章  投标文件格式》）</w:t>
      </w:r>
    </w:p>
    <w:bookmarkEnd w:id="38"/>
    <w:p>
      <w:pPr>
        <w:pStyle w:val="384"/>
        <w:rPr>
          <w:rFonts w:ascii="黑体" w:hAnsi="黑体"/>
          <w:szCs w:val="24"/>
        </w:rPr>
      </w:pPr>
      <w:bookmarkStart w:id="39" w:name="_Toc179632566"/>
      <w:r>
        <w:rPr>
          <w:rFonts w:hint="eastAsia" w:ascii="黑体" w:hAnsi="黑体"/>
          <w:szCs w:val="24"/>
        </w:rPr>
        <w:t>3.2 投标报价</w:t>
      </w:r>
      <w:bookmarkEnd w:id="39"/>
    </w:p>
    <w:p>
      <w:pPr>
        <w:spacing w:line="400" w:lineRule="exact"/>
        <w:ind w:left="720" w:hanging="720" w:hangingChars="300"/>
        <w:rPr>
          <w:rFonts w:ascii="宋体" w:hAnsi="宋体"/>
          <w:sz w:val="24"/>
        </w:rPr>
      </w:pPr>
      <w:r>
        <w:rPr>
          <w:rFonts w:hint="eastAsia" w:ascii="宋体" w:hAnsi="宋体"/>
          <w:sz w:val="24"/>
        </w:rPr>
        <w:t>3.2.1</w:t>
      </w:r>
      <w:r>
        <w:rPr>
          <w:rFonts w:hint="eastAsia" w:ascii="宋体" w:hAnsi="宋体"/>
          <w:sz w:val="24"/>
          <w:szCs w:val="20"/>
        </w:rPr>
        <w:t>本工程的投标报价</w:t>
      </w:r>
      <w:r>
        <w:rPr>
          <w:rFonts w:hint="eastAsia" w:ascii="宋体" w:hAnsi="宋体"/>
          <w:sz w:val="24"/>
        </w:rPr>
        <w:t>根据投标上限价（招标控制价）自行</w:t>
      </w:r>
      <w:r>
        <w:rPr>
          <w:rFonts w:hint="eastAsia" w:ascii="宋体" w:hAnsi="宋体"/>
          <w:sz w:val="24"/>
          <w:szCs w:val="20"/>
        </w:rPr>
        <w:t>进行报价，结算时</w:t>
      </w:r>
      <w:r>
        <w:rPr>
          <w:rFonts w:hint="eastAsia" w:ascii="宋体" w:hAnsi="宋体"/>
          <w:sz w:val="24"/>
        </w:rPr>
        <w:t>以</w:t>
      </w:r>
      <w:r>
        <w:rPr>
          <w:rFonts w:hint="eastAsia" w:ascii="宋体" w:hAnsi="宋体"/>
          <w:sz w:val="24"/>
          <w:szCs w:val="20"/>
        </w:rPr>
        <w:t>合同</w:t>
      </w:r>
      <w:r>
        <w:rPr>
          <w:rFonts w:hint="eastAsia" w:ascii="宋体" w:hAnsi="宋体"/>
          <w:sz w:val="24"/>
        </w:rPr>
        <w:t>规定的方式</w:t>
      </w:r>
      <w:r>
        <w:rPr>
          <w:rFonts w:hint="eastAsia" w:ascii="宋体" w:hAnsi="宋体"/>
          <w:sz w:val="24"/>
          <w:szCs w:val="20"/>
        </w:rPr>
        <w:t>结算</w:t>
      </w:r>
      <w:r>
        <w:rPr>
          <w:rFonts w:hint="eastAsia" w:ascii="宋体" w:hAnsi="宋体"/>
          <w:sz w:val="24"/>
        </w:rPr>
        <w:t>。</w:t>
      </w:r>
    </w:p>
    <w:p>
      <w:pPr>
        <w:spacing w:line="400" w:lineRule="exact"/>
        <w:ind w:left="720" w:hanging="720" w:hangingChars="300"/>
        <w:rPr>
          <w:rFonts w:ascii="宋体" w:hAnsi="宋体"/>
          <w:sz w:val="24"/>
        </w:rPr>
      </w:pPr>
      <w:r>
        <w:rPr>
          <w:rFonts w:hint="eastAsia" w:ascii="宋体" w:hAnsi="宋体"/>
          <w:sz w:val="24"/>
        </w:rPr>
        <w:t>3.2.2 投标人不须按工程量清单报价。</w:t>
      </w:r>
    </w:p>
    <w:p>
      <w:pPr>
        <w:pStyle w:val="384"/>
      </w:pPr>
      <w:bookmarkStart w:id="40" w:name="_Toc179632567"/>
    </w:p>
    <w:p>
      <w:pPr>
        <w:pStyle w:val="384"/>
        <w:rPr>
          <w:rFonts w:ascii="黑体" w:hAnsi="黑体"/>
        </w:rPr>
      </w:pPr>
      <w:r>
        <w:rPr>
          <w:rFonts w:hint="eastAsia" w:ascii="黑体" w:hAnsi="黑体"/>
        </w:rPr>
        <w:t>3.3 投标有效期</w:t>
      </w:r>
      <w:bookmarkEnd w:id="40"/>
    </w:p>
    <w:p>
      <w:pPr>
        <w:spacing w:line="400" w:lineRule="exact"/>
        <w:ind w:left="720" w:hanging="720" w:hangingChars="300"/>
        <w:rPr>
          <w:rFonts w:ascii="宋体" w:hAnsi="宋体"/>
          <w:sz w:val="24"/>
        </w:rPr>
      </w:pPr>
      <w:r>
        <w:rPr>
          <w:rFonts w:hint="eastAsia" w:ascii="宋体" w:hAnsi="宋体"/>
          <w:sz w:val="24"/>
        </w:rPr>
        <w:t>3.3.1 在投标人须知前附表规定的投标有效期内，投标人不得要求撤销或修改其投标文件。</w:t>
      </w:r>
    </w:p>
    <w:p>
      <w:pPr>
        <w:spacing w:line="400" w:lineRule="exact"/>
        <w:ind w:left="720" w:hanging="720" w:hangingChars="300"/>
        <w:rPr>
          <w:rFonts w:ascii="宋体" w:hAnsi="宋体"/>
          <w:sz w:val="24"/>
        </w:rPr>
      </w:pPr>
      <w:r>
        <w:rPr>
          <w:rFonts w:hint="eastAsia" w:ascii="宋体" w:hAnsi="宋体"/>
          <w:sz w:val="24"/>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384"/>
      </w:pPr>
      <w:bookmarkStart w:id="41" w:name="_Toc179632568"/>
    </w:p>
    <w:p>
      <w:pPr>
        <w:pStyle w:val="384"/>
        <w:rPr>
          <w:rFonts w:ascii="黑体" w:hAnsi="黑体"/>
        </w:rPr>
      </w:pPr>
      <w:r>
        <w:rPr>
          <w:rFonts w:hint="eastAsia" w:ascii="黑体" w:hAnsi="黑体"/>
        </w:rPr>
        <w:t>3.4 投标担保</w:t>
      </w:r>
      <w:bookmarkEnd w:id="41"/>
      <w:r>
        <w:rPr>
          <w:rFonts w:hint="eastAsia" w:ascii="黑体" w:hAnsi="黑体"/>
        </w:rPr>
        <w:t>金（本项目不适用）</w:t>
      </w:r>
    </w:p>
    <w:p>
      <w:pPr>
        <w:spacing w:line="400" w:lineRule="exact"/>
        <w:ind w:left="720" w:hanging="720" w:hangingChars="300"/>
        <w:rPr>
          <w:rFonts w:ascii="宋体" w:hAnsi="宋体"/>
          <w:sz w:val="24"/>
        </w:rPr>
      </w:pPr>
      <w:r>
        <w:rPr>
          <w:rFonts w:hint="eastAsia" w:ascii="宋体" w:hAnsi="宋体"/>
          <w:sz w:val="24"/>
        </w:rPr>
        <w:t>3.4.1 投标人在递交投标文件的同时，应按投标人须知前附表规定的金额、担保形式和第七章“投标文件格式”规定的格式递交投标担保金，并作为其投标文件的组成部分。联合体投标的，其投标担保金由牵头人递交，并应符合投标人须知前附表的规定。</w:t>
      </w:r>
    </w:p>
    <w:p>
      <w:pPr>
        <w:spacing w:line="400" w:lineRule="exact"/>
        <w:ind w:left="718" w:leftChars="342"/>
        <w:rPr>
          <w:rFonts w:ascii="宋体" w:hAnsi="宋体"/>
          <w:sz w:val="24"/>
        </w:rPr>
      </w:pPr>
      <w:r>
        <w:rPr>
          <w:rFonts w:hint="eastAsia" w:ascii="宋体" w:hAnsi="宋体"/>
          <w:sz w:val="24"/>
        </w:rPr>
        <w:t>（1）</w:t>
      </w:r>
      <w:r>
        <w:rPr>
          <w:rFonts w:ascii="宋体" w:hAnsi="宋体"/>
          <w:sz w:val="24"/>
        </w:rPr>
        <w:t>投标人</w:t>
      </w:r>
      <w:r>
        <w:rPr>
          <w:rFonts w:hint="eastAsia" w:ascii="宋体" w:hAnsi="宋体"/>
          <w:sz w:val="24"/>
        </w:rPr>
        <w:t>须按本须知前附表中规定的方式和金额提交投标担保金</w:t>
      </w:r>
      <w:r>
        <w:rPr>
          <w:rFonts w:ascii="宋体" w:hAnsi="宋体"/>
          <w:sz w:val="24"/>
        </w:rPr>
        <w:t>。</w:t>
      </w:r>
    </w:p>
    <w:p>
      <w:pPr>
        <w:spacing w:line="400" w:lineRule="exact"/>
        <w:ind w:left="718" w:leftChars="342"/>
        <w:rPr>
          <w:rFonts w:ascii="宋体" w:hAnsi="宋体"/>
          <w:sz w:val="24"/>
        </w:rPr>
      </w:pPr>
      <w:r>
        <w:rPr>
          <w:rFonts w:hint="eastAsia" w:ascii="宋体" w:hAnsi="宋体"/>
          <w:sz w:val="24"/>
        </w:rPr>
        <w:t>（2）</w:t>
      </w:r>
      <w:r>
        <w:rPr>
          <w:rFonts w:ascii="宋体" w:hAnsi="宋体"/>
          <w:sz w:val="24"/>
        </w:rPr>
        <w:t>投标人</w:t>
      </w:r>
      <w:r>
        <w:rPr>
          <w:rFonts w:hint="eastAsia" w:ascii="宋体" w:hAnsi="宋体"/>
          <w:sz w:val="24"/>
        </w:rPr>
        <w:t>须</w:t>
      </w:r>
      <w:r>
        <w:rPr>
          <w:rFonts w:ascii="宋体" w:hAnsi="宋体"/>
          <w:sz w:val="24"/>
        </w:rPr>
        <w:t>在</w:t>
      </w:r>
      <w:r>
        <w:rPr>
          <w:rFonts w:hint="eastAsia" w:ascii="宋体" w:hAnsi="宋体"/>
          <w:sz w:val="24"/>
        </w:rPr>
        <w:t>本须知前附表中规定的时间</w:t>
      </w:r>
      <w:r>
        <w:rPr>
          <w:rFonts w:ascii="宋体" w:hAnsi="宋体"/>
          <w:sz w:val="24"/>
        </w:rPr>
        <w:t>前，</w:t>
      </w:r>
      <w:r>
        <w:rPr>
          <w:rFonts w:hint="eastAsia" w:ascii="宋体" w:hAnsi="宋体"/>
          <w:sz w:val="24"/>
        </w:rPr>
        <w:t>按规定的办法提交投标担保金</w:t>
      </w:r>
      <w:r>
        <w:rPr>
          <w:rFonts w:ascii="宋体" w:hAnsi="宋体"/>
          <w:sz w:val="24"/>
        </w:rPr>
        <w:t>。</w:t>
      </w:r>
    </w:p>
    <w:p>
      <w:pPr>
        <w:spacing w:line="400" w:lineRule="exact"/>
        <w:ind w:left="720" w:hanging="720" w:hangingChars="300"/>
        <w:rPr>
          <w:rFonts w:ascii="宋体" w:hAnsi="宋体"/>
          <w:sz w:val="24"/>
        </w:rPr>
      </w:pPr>
      <w:r>
        <w:rPr>
          <w:rFonts w:hint="eastAsia" w:ascii="宋体" w:hAnsi="宋体"/>
          <w:sz w:val="24"/>
        </w:rPr>
        <w:t>3.4.2 投标人不按本章第3.4.1项要求提交投标担保金的，评标委员会将否决其投标。</w:t>
      </w:r>
    </w:p>
    <w:p>
      <w:pPr>
        <w:spacing w:line="400" w:lineRule="exact"/>
        <w:rPr>
          <w:rFonts w:ascii="宋体" w:hAnsi="宋体"/>
          <w:sz w:val="24"/>
        </w:rPr>
      </w:pPr>
      <w:r>
        <w:rPr>
          <w:rFonts w:hint="eastAsia" w:ascii="宋体" w:hAnsi="宋体"/>
          <w:sz w:val="24"/>
        </w:rPr>
        <w:t>3.4.3 投标担保金的有效期与退还</w:t>
      </w:r>
    </w:p>
    <w:p>
      <w:pPr>
        <w:spacing w:line="400" w:lineRule="exact"/>
        <w:ind w:left="718" w:leftChars="342"/>
        <w:rPr>
          <w:rFonts w:ascii="宋体" w:hAnsi="宋体"/>
          <w:sz w:val="24"/>
        </w:rPr>
      </w:pPr>
      <w:r>
        <w:rPr>
          <w:rFonts w:hint="eastAsia" w:ascii="宋体" w:hAnsi="宋体"/>
          <w:sz w:val="24"/>
        </w:rPr>
        <w:t>（1）投标担保金</w:t>
      </w:r>
      <w:r>
        <w:rPr>
          <w:rFonts w:ascii="宋体" w:hAnsi="宋体"/>
          <w:sz w:val="24"/>
        </w:rPr>
        <w:t>在投标文件有效期内保持有效，招标人如果按本须知</w:t>
      </w:r>
      <w:r>
        <w:rPr>
          <w:rFonts w:hint="eastAsia" w:ascii="宋体" w:hAnsi="宋体"/>
          <w:sz w:val="24"/>
        </w:rPr>
        <w:t>第3.3.2项</w:t>
      </w:r>
      <w:r>
        <w:rPr>
          <w:rFonts w:ascii="宋体" w:hAnsi="宋体"/>
          <w:sz w:val="24"/>
        </w:rPr>
        <w:t>的规定延长了投标文件</w:t>
      </w:r>
      <w:r>
        <w:rPr>
          <w:rFonts w:hint="eastAsia" w:ascii="宋体" w:hAnsi="宋体"/>
          <w:sz w:val="24"/>
        </w:rPr>
        <w:t>的</w:t>
      </w:r>
      <w:r>
        <w:rPr>
          <w:rFonts w:ascii="宋体" w:hAnsi="宋体"/>
          <w:sz w:val="24"/>
        </w:rPr>
        <w:t>有效期，则</w:t>
      </w:r>
      <w:r>
        <w:rPr>
          <w:rFonts w:hint="eastAsia" w:ascii="宋体" w:hAnsi="宋体"/>
          <w:sz w:val="24"/>
        </w:rPr>
        <w:t>担保</w:t>
      </w:r>
      <w:r>
        <w:rPr>
          <w:rFonts w:ascii="宋体" w:hAnsi="宋体"/>
          <w:sz w:val="24"/>
        </w:rPr>
        <w:t>金的有效期也相应延长</w:t>
      </w:r>
      <w:r>
        <w:rPr>
          <w:rFonts w:hint="eastAsia" w:ascii="宋体" w:hAnsi="宋体"/>
          <w:sz w:val="24"/>
        </w:rPr>
        <w:t>；</w:t>
      </w:r>
    </w:p>
    <w:p>
      <w:pPr>
        <w:spacing w:line="400" w:lineRule="exact"/>
        <w:ind w:left="718" w:leftChars="342"/>
        <w:rPr>
          <w:rFonts w:ascii="宋体" w:hAnsi="宋体"/>
          <w:sz w:val="24"/>
        </w:rPr>
      </w:pPr>
      <w:r>
        <w:rPr>
          <w:rFonts w:hint="eastAsia" w:ascii="宋体" w:hAnsi="宋体"/>
          <w:sz w:val="24"/>
        </w:rPr>
        <w:t>（2）招标人</w:t>
      </w:r>
      <w:r>
        <w:rPr>
          <w:rFonts w:ascii="宋体" w:hAnsi="宋体"/>
          <w:sz w:val="24"/>
        </w:rPr>
        <w:t>在</w:t>
      </w:r>
      <w:r>
        <w:rPr>
          <w:rFonts w:hint="eastAsia" w:ascii="宋体" w:hAnsi="宋体"/>
          <w:sz w:val="24"/>
        </w:rPr>
        <w:t>评标结束后，通知招标单位退还未入选中标候选人的投标担保金及银行同期存款利息（扣除银行手续费）</w:t>
      </w:r>
      <w:r>
        <w:rPr>
          <w:rFonts w:ascii="宋体" w:hAnsi="宋体"/>
          <w:sz w:val="24"/>
        </w:rPr>
        <w:t>；</w:t>
      </w:r>
    </w:p>
    <w:p>
      <w:pPr>
        <w:spacing w:line="400" w:lineRule="exact"/>
        <w:rPr>
          <w:rFonts w:ascii="宋体" w:hAnsi="宋体"/>
          <w:sz w:val="24"/>
        </w:rPr>
      </w:pPr>
      <w:r>
        <w:rPr>
          <w:rFonts w:hint="eastAsia" w:ascii="宋体" w:hAnsi="宋体"/>
          <w:sz w:val="24"/>
        </w:rPr>
        <w:t xml:space="preserve">3.4.4 有下列情形之一的，投标保证金将不予退还： </w:t>
      </w:r>
    </w:p>
    <w:p>
      <w:pPr>
        <w:spacing w:line="400" w:lineRule="exact"/>
        <w:ind w:firstLine="480" w:firstLineChars="200"/>
        <w:rPr>
          <w:rFonts w:ascii="宋体" w:hAnsi="宋体" w:cs="宋体"/>
          <w:sz w:val="24"/>
        </w:rPr>
      </w:pPr>
      <w:r>
        <w:rPr>
          <w:rFonts w:hint="eastAsia" w:ascii="宋体" w:hAnsi="宋体" w:cs="宋体"/>
          <w:sz w:val="24"/>
        </w:rPr>
        <w:t>（1）投标截止后投标人撤销其投标文件的；</w:t>
      </w:r>
    </w:p>
    <w:p>
      <w:pPr>
        <w:spacing w:line="400" w:lineRule="exact"/>
        <w:ind w:firstLine="480" w:firstLineChars="200"/>
        <w:rPr>
          <w:rFonts w:ascii="宋体" w:hAnsi="宋体" w:cs="宋体"/>
          <w:sz w:val="24"/>
        </w:rPr>
      </w:pPr>
      <w:r>
        <w:rPr>
          <w:rFonts w:hint="eastAsia" w:ascii="宋体" w:hAnsi="宋体" w:cs="宋体"/>
          <w:sz w:val="24"/>
        </w:rPr>
        <w:t>（2）中标人无正当理由不与招标人订立合同的；</w:t>
      </w:r>
    </w:p>
    <w:p>
      <w:pPr>
        <w:spacing w:line="400" w:lineRule="exact"/>
        <w:ind w:firstLine="480" w:firstLineChars="200"/>
        <w:rPr>
          <w:rFonts w:ascii="宋体" w:hAnsi="宋体" w:cs="宋体"/>
          <w:sz w:val="24"/>
        </w:rPr>
      </w:pPr>
      <w:r>
        <w:rPr>
          <w:rFonts w:hint="eastAsia" w:ascii="宋体" w:hAnsi="宋体" w:cs="宋体"/>
          <w:sz w:val="24"/>
        </w:rPr>
        <w:t>（3）中标人在签订合同时向招标人提出附加条件的；</w:t>
      </w:r>
    </w:p>
    <w:p>
      <w:pPr>
        <w:spacing w:line="400" w:lineRule="exact"/>
        <w:ind w:firstLine="480" w:firstLineChars="200"/>
        <w:rPr>
          <w:rFonts w:ascii="宋体" w:hAnsi="宋体" w:cs="宋体"/>
          <w:sz w:val="24"/>
        </w:rPr>
      </w:pPr>
      <w:r>
        <w:rPr>
          <w:rFonts w:hint="eastAsia" w:ascii="宋体" w:hAnsi="宋体" w:cs="宋体"/>
          <w:sz w:val="24"/>
        </w:rPr>
        <w:t>（4）中标人不按照招标文件要求提交履约保证金的。</w:t>
      </w:r>
    </w:p>
    <w:p>
      <w:pPr>
        <w:spacing w:line="400" w:lineRule="exact"/>
        <w:rPr>
          <w:rFonts w:ascii="宋体" w:hAnsi="宋体"/>
          <w:sz w:val="24"/>
        </w:rPr>
      </w:pPr>
      <w:r>
        <w:rPr>
          <w:rFonts w:hint="eastAsia" w:ascii="宋体" w:hAnsi="宋体"/>
          <w:sz w:val="24"/>
        </w:rPr>
        <w:t>3.4.5 有下列情形之一的，诚信保证金将不予退还：</w:t>
      </w:r>
    </w:p>
    <w:p>
      <w:pPr>
        <w:spacing w:line="400" w:lineRule="exact"/>
        <w:ind w:firstLine="480"/>
        <w:rPr>
          <w:rFonts w:ascii="宋体" w:hAnsi="宋体" w:cs="宋体"/>
          <w:sz w:val="24"/>
        </w:rPr>
      </w:pPr>
      <w:r>
        <w:rPr>
          <w:rFonts w:hint="eastAsia" w:ascii="宋体" w:hAnsi="宋体" w:cs="宋体"/>
          <w:sz w:val="24"/>
        </w:rPr>
        <w:t>（1）投标人在投标过程中存在违反《诚信投标承诺书》中承诺内容的；</w:t>
      </w:r>
    </w:p>
    <w:p>
      <w:pPr>
        <w:spacing w:line="400" w:lineRule="exact"/>
        <w:ind w:firstLine="480"/>
        <w:rPr>
          <w:rFonts w:ascii="宋体" w:hAnsi="宋体" w:cs="宋体"/>
          <w:sz w:val="24"/>
        </w:rPr>
      </w:pPr>
      <w:r>
        <w:rPr>
          <w:rFonts w:hint="eastAsia" w:ascii="宋体" w:hAnsi="宋体" w:cs="宋体"/>
          <w:sz w:val="24"/>
        </w:rPr>
        <w:t>（2）中标候选人被取消中标资格</w:t>
      </w:r>
      <w:r>
        <w:rPr>
          <w:rFonts w:hint="eastAsia" w:ascii="宋体" w:hAnsi="宋体"/>
          <w:sz w:val="24"/>
        </w:rPr>
        <w:t>或被行政主管部门处罚</w:t>
      </w:r>
      <w:r>
        <w:rPr>
          <w:rFonts w:hint="eastAsia" w:ascii="宋体" w:hAnsi="宋体" w:cs="宋体"/>
          <w:sz w:val="24"/>
        </w:rPr>
        <w:t>的；</w:t>
      </w:r>
    </w:p>
    <w:p>
      <w:pPr>
        <w:spacing w:line="400" w:lineRule="exact"/>
        <w:rPr>
          <w:rFonts w:ascii="宋体" w:hAnsi="宋体"/>
          <w:sz w:val="24"/>
        </w:rPr>
      </w:pPr>
      <w:r>
        <w:rPr>
          <w:rFonts w:hint="eastAsia" w:ascii="宋体" w:hAnsi="宋体" w:cs="宋体"/>
          <w:sz w:val="24"/>
        </w:rPr>
        <w:t xml:space="preserve">    （3）法律、法规、规章规定的其他违背诚实信用原则的行为。</w:t>
      </w:r>
    </w:p>
    <w:p>
      <w:pPr>
        <w:pStyle w:val="384"/>
        <w:spacing w:line="360" w:lineRule="exact"/>
      </w:pPr>
      <w:bookmarkStart w:id="42" w:name="_Toc179632570"/>
    </w:p>
    <w:p>
      <w:pPr>
        <w:pStyle w:val="384"/>
        <w:spacing w:line="360" w:lineRule="exact"/>
        <w:rPr>
          <w:rFonts w:ascii="黑体" w:hAnsi="黑体"/>
        </w:rPr>
      </w:pPr>
      <w:r>
        <w:rPr>
          <w:rFonts w:hint="eastAsia" w:ascii="黑体" w:hAnsi="黑体"/>
        </w:rPr>
        <w:t>3.5 资格审查</w:t>
      </w:r>
      <w:bookmarkEnd w:id="42"/>
      <w:r>
        <w:rPr>
          <w:rFonts w:hint="eastAsia" w:ascii="黑体" w:hAnsi="黑体"/>
        </w:rPr>
        <w:t>资料</w:t>
      </w:r>
    </w:p>
    <w:p>
      <w:pPr>
        <w:spacing w:line="360" w:lineRule="exact"/>
        <w:ind w:left="720" w:hanging="720" w:hangingChars="300"/>
        <w:rPr>
          <w:rFonts w:ascii="宋体" w:hAnsi="宋体"/>
          <w:sz w:val="24"/>
        </w:rPr>
      </w:pPr>
      <w:r>
        <w:rPr>
          <w:rFonts w:hint="eastAsia" w:ascii="宋体" w:hAnsi="宋体"/>
          <w:sz w:val="24"/>
        </w:rPr>
        <w:t>3.5.1 “投标人基本情况表”应附投标人营业执照副本、资质证书（副本）、企业安全生产许可证、 “佛山市建筑诚信评价体系管理平台”截图打印件等材料的复印件。</w:t>
      </w:r>
    </w:p>
    <w:p>
      <w:pPr>
        <w:spacing w:line="360" w:lineRule="exact"/>
        <w:ind w:left="720" w:hanging="720" w:hangingChars="300"/>
        <w:rPr>
          <w:rFonts w:ascii="宋体" w:hAnsi="宋体"/>
          <w:sz w:val="24"/>
        </w:rPr>
      </w:pPr>
      <w:r>
        <w:rPr>
          <w:rFonts w:hint="eastAsia" w:ascii="宋体" w:hAnsi="宋体"/>
          <w:sz w:val="24"/>
        </w:rPr>
        <w:t>3.5.2 “近三年财务状况表”应附经会计师事务所或审计机构审计的财务会计报表，包括资产负债表、现金流量表、利润表和财务情况说明书的复印件，具体年份要求见投标人须知前附表。（本项目不适用）</w:t>
      </w:r>
    </w:p>
    <w:p>
      <w:pPr>
        <w:spacing w:line="360" w:lineRule="exact"/>
        <w:ind w:left="720" w:hanging="720" w:hangingChars="300"/>
        <w:rPr>
          <w:rFonts w:ascii="宋体" w:hAnsi="宋体"/>
          <w:sz w:val="24"/>
        </w:rPr>
      </w:pPr>
      <w:r>
        <w:rPr>
          <w:rFonts w:hint="eastAsia" w:ascii="宋体" w:hAnsi="宋体"/>
          <w:sz w:val="24"/>
        </w:rPr>
        <w:t>3.5.3 “近三年完成的类似项目及获奖情况表”应附中标通知书、合同协议书、竣工验收报告和获奖证书的复印件，以及当地政府组建的集中交易机构的招投标网页打印件（内容须包括完整的网址路径、项目名称、中标人或预中标人、中标金额等信息），具体年份要求见投标人须知前附表。每张表格只填写一个项目，并标明序号。（本项目不适用）</w:t>
      </w:r>
    </w:p>
    <w:p>
      <w:pPr>
        <w:spacing w:line="400" w:lineRule="exact"/>
        <w:ind w:left="720" w:hanging="720" w:hangingChars="300"/>
        <w:rPr>
          <w:rFonts w:ascii="宋体" w:hAnsi="宋体"/>
          <w:sz w:val="24"/>
        </w:rPr>
      </w:pPr>
      <w:r>
        <w:rPr>
          <w:rFonts w:hint="eastAsia" w:ascii="宋体" w:hAnsi="宋体"/>
          <w:sz w:val="24"/>
        </w:rPr>
        <w:t>3.5.4 “近三年发生的诉讼及仲裁情况”应说明相关情况，并附法院或仲裁机构作出的判决、裁决等有关法律文书复印件，具体年份要求见投标人须知前附表。（本项目不适用）</w:t>
      </w:r>
    </w:p>
    <w:p>
      <w:pPr>
        <w:spacing w:line="400" w:lineRule="exact"/>
        <w:ind w:left="720" w:hanging="720" w:hangingChars="300"/>
        <w:rPr>
          <w:rFonts w:ascii="宋体" w:hAnsi="宋体"/>
          <w:sz w:val="24"/>
        </w:rPr>
      </w:pPr>
      <w:r>
        <w:rPr>
          <w:rFonts w:hint="eastAsia" w:ascii="宋体" w:hAnsi="宋体"/>
          <w:sz w:val="24"/>
        </w:rPr>
        <w:t>3.5.5 投标人须知前附表规定接受联合体投标的，本章第3.5.1项至第3.5.5项规定的表格和资料应包括联合体各方相关情况。（本项目不适用）</w:t>
      </w:r>
    </w:p>
    <w:p>
      <w:pPr>
        <w:pStyle w:val="384"/>
      </w:pPr>
      <w:bookmarkStart w:id="43" w:name="_Toc179632571"/>
    </w:p>
    <w:p>
      <w:pPr>
        <w:pStyle w:val="384"/>
        <w:rPr>
          <w:rFonts w:ascii="黑体" w:hAnsi="黑体"/>
        </w:rPr>
      </w:pPr>
      <w:r>
        <w:rPr>
          <w:rFonts w:hint="eastAsia" w:ascii="黑体" w:hAnsi="黑体"/>
        </w:rPr>
        <w:t>3.6 备选投标方案</w:t>
      </w:r>
      <w:bookmarkEnd w:id="43"/>
    </w:p>
    <w:p>
      <w:pPr>
        <w:spacing w:line="400" w:lineRule="exact"/>
        <w:ind w:left="478" w:leftChars="228"/>
        <w:rPr>
          <w:sz w:val="24"/>
        </w:rPr>
      </w:pPr>
      <w:r>
        <w:rPr>
          <w:rFonts w:hint="eastAsia"/>
          <w:sz w:val="24"/>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384"/>
      </w:pPr>
      <w:bookmarkStart w:id="44" w:name="_Toc179632572"/>
    </w:p>
    <w:p>
      <w:pPr>
        <w:pStyle w:val="384"/>
        <w:rPr>
          <w:rFonts w:ascii="黑体" w:hAnsi="黑体"/>
        </w:rPr>
      </w:pPr>
      <w:r>
        <w:rPr>
          <w:rFonts w:hint="eastAsia" w:ascii="黑体" w:hAnsi="黑体"/>
        </w:rPr>
        <w:t>3.7 投标文件的编制</w:t>
      </w:r>
      <w:bookmarkEnd w:id="44"/>
    </w:p>
    <w:p>
      <w:pPr>
        <w:spacing w:line="400" w:lineRule="exact"/>
        <w:ind w:left="720" w:hanging="720" w:hangingChars="300"/>
        <w:rPr>
          <w:rFonts w:ascii="宋体" w:hAnsi="宋体"/>
          <w:sz w:val="24"/>
        </w:rPr>
      </w:pPr>
      <w:r>
        <w:rPr>
          <w:rFonts w:hint="eastAsia" w:ascii="宋体" w:hAnsi="宋体"/>
          <w:sz w:val="24"/>
        </w:rPr>
        <w:t>3.7.1投标文件应按第七章“投标文件格式”进行编写，如有必要，可以增加附页，作为投标文件的组成部分。除特别说明外，投标文件应采用A4幅面的纸张进行编制，遇到有大于A4幅面的图文材料时，应按A4幅面进行折叠。</w:t>
      </w:r>
    </w:p>
    <w:p>
      <w:pPr>
        <w:spacing w:line="400" w:lineRule="exact"/>
        <w:ind w:left="720" w:hanging="720" w:hangingChars="300"/>
        <w:rPr>
          <w:rFonts w:ascii="宋体" w:hAnsi="宋体"/>
          <w:sz w:val="24"/>
        </w:rPr>
      </w:pPr>
      <w:r>
        <w:rPr>
          <w:rFonts w:hint="eastAsia" w:ascii="宋体" w:hAnsi="宋体"/>
          <w:sz w:val="24"/>
        </w:rPr>
        <w:t>3.7.2 投标文件应当对招标文件有关工期、投标有效期、质量要求、技术标准和要求、招标范围等实质性内容作出响应。在此基础上，投标文件可以提出比招标文件要求更有利于招标人的承诺。</w:t>
      </w:r>
    </w:p>
    <w:p>
      <w:pPr>
        <w:spacing w:line="400" w:lineRule="exact"/>
        <w:ind w:left="720" w:hanging="720" w:hangingChars="300"/>
        <w:rPr>
          <w:rFonts w:ascii="宋体" w:hAnsi="宋体"/>
          <w:sz w:val="24"/>
        </w:rPr>
      </w:pPr>
      <w:r>
        <w:rPr>
          <w:rFonts w:hint="eastAsia" w:ascii="宋体" w:hAnsi="宋体"/>
          <w:sz w:val="24"/>
        </w:rPr>
        <w:t>3.7.3投标文件正本应用不褪色的材料书写或打印，招标文件提供的投标文件格式中规定须签字盖章处，均应由投标人的法定代表人或其委托代理人亲笔签字或加盖印鉴并加盖投标人单位公章。由委托代理人签字的，投标文件应附法定代表人签署或加盖印鉴的授权委托书。投标文件应尽量避免涂改、行间插字或删除，否则，所有改动之处均应加盖单位公章或由投标人的法定代表人签字或加盖印鉴确认。签字或盖章的具体要求见投标人须知前附表。</w:t>
      </w:r>
    </w:p>
    <w:p>
      <w:pPr>
        <w:spacing w:line="400" w:lineRule="exact"/>
        <w:ind w:left="699" w:leftChars="333"/>
        <w:rPr>
          <w:rFonts w:ascii="宋体" w:hAnsi="宋体"/>
          <w:sz w:val="24"/>
        </w:rPr>
      </w:pPr>
      <w:r>
        <w:rPr>
          <w:rFonts w:hint="eastAsia" w:ascii="宋体" w:hAnsi="宋体"/>
          <w:sz w:val="24"/>
        </w:rPr>
        <w:t>以联合体形式参与投标的，投标文件正本由联合体牵头人的法定代表人或其委托代理人按上述规定签署，并由联合体牵头人盖章即可（投标文件中须附联合体协议书）。</w:t>
      </w:r>
    </w:p>
    <w:p>
      <w:pPr>
        <w:spacing w:line="400" w:lineRule="exact"/>
        <w:ind w:left="720" w:hanging="720" w:hangingChars="300"/>
        <w:rPr>
          <w:rFonts w:ascii="宋体" w:hAnsi="宋体"/>
          <w:sz w:val="24"/>
        </w:rPr>
      </w:pPr>
      <w:r>
        <w:rPr>
          <w:rFonts w:hint="eastAsia" w:ascii="宋体" w:hAnsi="宋体"/>
          <w:sz w:val="24"/>
        </w:rPr>
        <w:t>3.7.4 投标文件正本一份，副本份数见投标人须知前附表。正本和副本的封面上应清楚地标记“正本”或“副本”的字样。当副本和正本不一致时，以正本为准。</w:t>
      </w:r>
    </w:p>
    <w:p>
      <w:pPr>
        <w:spacing w:line="400" w:lineRule="exact"/>
        <w:ind w:left="718" w:leftChars="342"/>
        <w:rPr>
          <w:rFonts w:ascii="宋体" w:hAnsi="宋体"/>
          <w:sz w:val="24"/>
        </w:rPr>
      </w:pPr>
      <w:r>
        <w:rPr>
          <w:rFonts w:hint="eastAsia" w:ascii="宋体" w:hAnsi="宋体"/>
          <w:sz w:val="24"/>
        </w:rPr>
        <w:t>除技术标暗标副本以外，其余投标文件的副本可以是正本签字盖章后的复印件，但必须清晰明辨。</w:t>
      </w:r>
    </w:p>
    <w:p>
      <w:pPr>
        <w:spacing w:line="400" w:lineRule="exact"/>
        <w:ind w:left="720" w:hanging="720" w:hangingChars="300"/>
        <w:rPr>
          <w:rFonts w:ascii="宋体" w:hAnsi="宋体"/>
          <w:sz w:val="24"/>
        </w:rPr>
      </w:pPr>
      <w:r>
        <w:rPr>
          <w:rFonts w:hint="eastAsia" w:ascii="宋体" w:hAnsi="宋体"/>
          <w:sz w:val="24"/>
        </w:rPr>
        <w:t>3.7.5 投标文件的具体装订要求见投标人须知前附表规定。</w:t>
      </w:r>
    </w:p>
    <w:p>
      <w:pPr>
        <w:pStyle w:val="387"/>
        <w:spacing w:before="0"/>
        <w:rPr>
          <w:rFonts w:ascii="黑体" w:hAnsi="黑体"/>
        </w:rPr>
      </w:pPr>
      <w:bookmarkStart w:id="45" w:name="_Toc179632573"/>
    </w:p>
    <w:p>
      <w:pPr>
        <w:pStyle w:val="387"/>
        <w:spacing w:before="0"/>
        <w:rPr>
          <w:rFonts w:ascii="黑体" w:hAnsi="黑体"/>
        </w:rPr>
      </w:pPr>
      <w:r>
        <w:rPr>
          <w:rFonts w:hint="eastAsia" w:ascii="黑体" w:hAnsi="黑体"/>
        </w:rPr>
        <w:t>4. 投标</w:t>
      </w:r>
      <w:bookmarkEnd w:id="45"/>
    </w:p>
    <w:p>
      <w:pPr>
        <w:pStyle w:val="384"/>
        <w:rPr>
          <w:rFonts w:ascii="黑体" w:hAnsi="黑体"/>
        </w:rPr>
      </w:pPr>
      <w:bookmarkStart w:id="46" w:name="_Toc179632574"/>
      <w:r>
        <w:rPr>
          <w:rFonts w:hint="eastAsia" w:ascii="黑体" w:hAnsi="黑体"/>
        </w:rPr>
        <w:t>4.1 投标文件的密封和标记</w:t>
      </w:r>
      <w:bookmarkEnd w:id="46"/>
    </w:p>
    <w:p>
      <w:pPr>
        <w:spacing w:line="400" w:lineRule="exact"/>
        <w:ind w:left="720" w:hanging="720" w:hangingChars="300"/>
        <w:rPr>
          <w:rFonts w:ascii="宋体" w:hAnsi="宋体" w:cs="宋体"/>
          <w:sz w:val="24"/>
        </w:rPr>
      </w:pPr>
      <w:r>
        <w:rPr>
          <w:rFonts w:hint="eastAsia" w:ascii="宋体" w:hAnsi="宋体" w:cs="宋体"/>
          <w:sz w:val="24"/>
        </w:rPr>
        <w:t>4.1.1 投标文件的密封：共有</w:t>
      </w:r>
      <w:r>
        <w:rPr>
          <w:rFonts w:hint="eastAsia" w:ascii="宋体" w:hAnsi="宋体" w:cs="宋体"/>
          <w:sz w:val="24"/>
          <w:u w:val="single"/>
        </w:rPr>
        <w:t xml:space="preserve"> 2 </w:t>
      </w:r>
      <w:r>
        <w:rPr>
          <w:rFonts w:hint="eastAsia" w:ascii="宋体" w:hAnsi="宋体" w:cs="宋体"/>
          <w:sz w:val="24"/>
        </w:rPr>
        <w:t>包，分别为：资格审查资料；</w:t>
      </w:r>
      <w:r>
        <w:rPr>
          <w:rFonts w:hint="eastAsia" w:ascii="宋体" w:hAnsi="宋体"/>
          <w:sz w:val="24"/>
          <w:bdr w:val="single" w:color="auto" w:sz="4" w:space="0"/>
        </w:rPr>
        <w:t>√</w:t>
      </w:r>
      <w:r>
        <w:rPr>
          <w:rFonts w:hint="eastAsia" w:ascii="宋体" w:hAnsi="宋体" w:cs="宋体"/>
          <w:sz w:val="24"/>
        </w:rPr>
        <w:t>投标文件；资信标（含资格审查资料）；技术标明标；技术标暗标；</w:t>
      </w:r>
      <w:r>
        <w:rPr>
          <w:rFonts w:hint="eastAsia" w:ascii="宋体" w:hAnsi="宋体"/>
          <w:sz w:val="24"/>
          <w:bdr w:val="single" w:color="auto" w:sz="4" w:space="0"/>
        </w:rPr>
        <w:t>√</w:t>
      </w:r>
      <w:r>
        <w:rPr>
          <w:rFonts w:hint="eastAsia" w:ascii="宋体" w:hAnsi="宋体" w:cs="宋体"/>
          <w:sz w:val="24"/>
        </w:rPr>
        <w:t>投标文件电子版。这</w:t>
      </w:r>
      <w:r>
        <w:rPr>
          <w:rFonts w:hint="eastAsia" w:ascii="宋体" w:hAnsi="宋体" w:cs="宋体"/>
          <w:sz w:val="24"/>
          <w:u w:val="single"/>
        </w:rPr>
        <w:t xml:space="preserve"> 2 </w:t>
      </w:r>
      <w:r>
        <w:rPr>
          <w:rFonts w:hint="eastAsia" w:ascii="宋体" w:hAnsi="宋体" w:cs="宋体"/>
          <w:sz w:val="24"/>
        </w:rPr>
        <w:t>包密封投标文件的封套均应加贴封条并在封口处应加盖密封章。具体密封要求详见“投标人须知前附表”。</w:t>
      </w:r>
    </w:p>
    <w:p>
      <w:pPr>
        <w:spacing w:line="400" w:lineRule="exact"/>
        <w:ind w:left="720" w:hanging="720" w:hangingChars="300"/>
        <w:rPr>
          <w:rFonts w:ascii="宋体" w:hAnsi="宋体" w:cs="宋体"/>
          <w:sz w:val="24"/>
        </w:rPr>
      </w:pPr>
      <w:r>
        <w:rPr>
          <w:rFonts w:hint="eastAsia" w:ascii="宋体" w:hAnsi="宋体" w:cs="宋体"/>
          <w:sz w:val="24"/>
        </w:rPr>
        <w:t>4.1.2 投标文件的封套上应清楚地标记“投标文件”或“投标文件电子版”，封套上应写明的其他内容见“投标人须知前附表”。</w:t>
      </w:r>
    </w:p>
    <w:p>
      <w:pPr>
        <w:spacing w:line="400" w:lineRule="exact"/>
        <w:rPr>
          <w:rFonts w:ascii="宋体" w:hAnsi="宋体" w:cs="宋体"/>
          <w:sz w:val="24"/>
        </w:rPr>
      </w:pPr>
      <w:r>
        <w:rPr>
          <w:rFonts w:hint="eastAsia" w:ascii="宋体" w:hAnsi="宋体" w:cs="宋体"/>
          <w:sz w:val="24"/>
        </w:rPr>
        <w:t>4.1.3 未按本章第 4.1.1 项和第 4.1.2 项要求进行密封和加写标记的投标文件，招标人不予受理。</w:t>
      </w:r>
    </w:p>
    <w:p>
      <w:pPr>
        <w:pStyle w:val="384"/>
        <w:rPr>
          <w:rFonts w:ascii="黑体" w:hAnsi="黑体" w:cs="黑体"/>
        </w:rPr>
      </w:pPr>
      <w:bookmarkStart w:id="47" w:name="_Toc179632575"/>
    </w:p>
    <w:p>
      <w:pPr>
        <w:pStyle w:val="384"/>
        <w:rPr>
          <w:rFonts w:ascii="黑体" w:hAnsi="黑体" w:cs="黑体"/>
        </w:rPr>
      </w:pPr>
      <w:r>
        <w:rPr>
          <w:rFonts w:hint="eastAsia" w:ascii="黑体" w:hAnsi="黑体" w:cs="黑体"/>
        </w:rPr>
        <w:t>4.2 投标文件的递交</w:t>
      </w:r>
      <w:bookmarkEnd w:id="47"/>
    </w:p>
    <w:p>
      <w:pPr>
        <w:spacing w:line="400" w:lineRule="exact"/>
        <w:rPr>
          <w:rFonts w:ascii="宋体" w:hAnsi="宋体" w:cs="宋体"/>
          <w:sz w:val="24"/>
        </w:rPr>
      </w:pPr>
      <w:r>
        <w:rPr>
          <w:rFonts w:hint="eastAsia" w:ascii="宋体" w:hAnsi="宋体" w:cs="宋体"/>
          <w:sz w:val="24"/>
        </w:rPr>
        <w:t>4.2.1 投标人应在本章第2.2.2项规定的投标截止时间前递交投标文件。</w:t>
      </w:r>
    </w:p>
    <w:p>
      <w:pPr>
        <w:spacing w:line="400" w:lineRule="exact"/>
        <w:rPr>
          <w:rFonts w:ascii="宋体" w:hAnsi="宋体" w:cs="宋体"/>
          <w:sz w:val="24"/>
        </w:rPr>
      </w:pPr>
      <w:r>
        <w:rPr>
          <w:rFonts w:hint="eastAsia" w:ascii="宋体" w:hAnsi="宋体" w:cs="宋体"/>
          <w:sz w:val="24"/>
        </w:rPr>
        <w:t>4.2.2 投标人递交投标文件的地点：见投标人须知前附表。</w:t>
      </w:r>
    </w:p>
    <w:p>
      <w:pPr>
        <w:spacing w:line="400" w:lineRule="exact"/>
        <w:rPr>
          <w:rFonts w:ascii="宋体" w:hAnsi="宋体" w:cs="宋体"/>
          <w:sz w:val="24"/>
        </w:rPr>
      </w:pPr>
      <w:r>
        <w:rPr>
          <w:rFonts w:hint="eastAsia" w:ascii="宋体" w:hAnsi="宋体" w:cs="宋体"/>
          <w:sz w:val="24"/>
        </w:rPr>
        <w:t>4.2.3 除投标人须知前附表另有规定外，投标人所递交的投标文件不予退还。</w:t>
      </w:r>
    </w:p>
    <w:p>
      <w:pPr>
        <w:spacing w:line="400" w:lineRule="exact"/>
        <w:rPr>
          <w:rFonts w:ascii="宋体" w:hAnsi="宋体" w:cs="宋体"/>
          <w:sz w:val="24"/>
        </w:rPr>
      </w:pPr>
      <w:r>
        <w:rPr>
          <w:rFonts w:hint="eastAsia" w:ascii="宋体" w:hAnsi="宋体" w:cs="宋体"/>
          <w:sz w:val="24"/>
        </w:rPr>
        <w:t>4.2.4 招标人收到投标文件后，向投标人出具签收凭证。</w:t>
      </w:r>
    </w:p>
    <w:p>
      <w:pPr>
        <w:pStyle w:val="384"/>
      </w:pPr>
      <w:bookmarkStart w:id="48" w:name="_Toc179632576"/>
    </w:p>
    <w:p>
      <w:pPr>
        <w:pStyle w:val="384"/>
        <w:rPr>
          <w:rFonts w:ascii="黑体" w:hAnsi="黑体" w:cs="黑体"/>
        </w:rPr>
      </w:pPr>
      <w:r>
        <w:rPr>
          <w:rFonts w:hint="eastAsia" w:ascii="黑体" w:hAnsi="黑体" w:cs="黑体"/>
        </w:rPr>
        <w:t>4.3 投标文件的修改与撤回</w:t>
      </w:r>
      <w:bookmarkEnd w:id="48"/>
    </w:p>
    <w:p>
      <w:pPr>
        <w:spacing w:line="400" w:lineRule="exact"/>
        <w:rPr>
          <w:rFonts w:ascii="宋体" w:hAnsi="宋体" w:cs="宋体"/>
          <w:sz w:val="24"/>
        </w:rPr>
      </w:pPr>
      <w:r>
        <w:rPr>
          <w:rFonts w:hint="eastAsia" w:ascii="宋体" w:hAnsi="宋体" w:cs="宋体"/>
          <w:sz w:val="24"/>
        </w:rPr>
        <w:t>4.3.1 在本章第2.2.2项规定的投标截止时间前，投标人可以修改或撤回已递交的投标文件，但应以书面形式通知招标人。</w:t>
      </w:r>
    </w:p>
    <w:p>
      <w:pPr>
        <w:spacing w:line="400" w:lineRule="exact"/>
        <w:rPr>
          <w:rFonts w:ascii="宋体" w:hAnsi="宋体" w:cs="宋体"/>
          <w:sz w:val="24"/>
        </w:rPr>
      </w:pPr>
      <w:r>
        <w:rPr>
          <w:rFonts w:hint="eastAsia" w:ascii="宋体" w:hAnsi="宋体" w:cs="宋体"/>
          <w:sz w:val="24"/>
        </w:rPr>
        <w:t>4.3.2 投标人修改或撤回已递交投标文件的书面通知应按照本章第3.7.3项的要求签字或盖章。招标人收到书面通知后，向投标人出具签收凭证。</w:t>
      </w:r>
    </w:p>
    <w:p>
      <w:pPr>
        <w:spacing w:line="400" w:lineRule="exact"/>
        <w:ind w:left="2"/>
        <w:rPr>
          <w:rFonts w:ascii="宋体" w:hAnsi="宋体" w:cs="宋体"/>
          <w:sz w:val="24"/>
        </w:rPr>
      </w:pPr>
      <w:r>
        <w:rPr>
          <w:rFonts w:hint="eastAsia" w:ascii="宋体" w:hAnsi="宋体" w:cs="宋体"/>
          <w:sz w:val="24"/>
        </w:rPr>
        <w:t>4.3.3 修改的内容为投标文件的组成部分。修改的投标文件应按照本章第3.7款、第4.1款、第4.2款规定进行编制、密封、标记和递交，并标明“修改”字样。</w:t>
      </w:r>
    </w:p>
    <w:p>
      <w:pPr>
        <w:spacing w:line="400" w:lineRule="exact"/>
        <w:rPr>
          <w:rFonts w:ascii="宋体" w:hAnsi="宋体" w:cs="宋体"/>
          <w:sz w:val="24"/>
        </w:rPr>
      </w:pPr>
      <w:r>
        <w:rPr>
          <w:rFonts w:hint="eastAsia" w:ascii="宋体" w:hAnsi="宋体" w:cs="宋体"/>
          <w:sz w:val="24"/>
        </w:rPr>
        <w:t>4.3.3 投标人依法撤回投标文件的，招标人自收到投标人书面撤回通知之日起5日内退还已收取的投标担保金及银行同期存款利息（扣除银行手续费）。</w:t>
      </w:r>
    </w:p>
    <w:p>
      <w:pPr>
        <w:pStyle w:val="387"/>
        <w:spacing w:before="0"/>
      </w:pPr>
      <w:bookmarkStart w:id="49" w:name="_Toc179632577"/>
    </w:p>
    <w:p>
      <w:pPr>
        <w:pStyle w:val="387"/>
        <w:spacing w:before="0"/>
        <w:rPr>
          <w:rFonts w:ascii="黑体" w:hAnsi="黑体" w:cs="黑体"/>
        </w:rPr>
      </w:pPr>
      <w:r>
        <w:rPr>
          <w:rFonts w:hint="eastAsia" w:ascii="黑体" w:hAnsi="黑体" w:cs="黑体"/>
        </w:rPr>
        <w:t>5. 开标</w:t>
      </w:r>
      <w:bookmarkEnd w:id="49"/>
    </w:p>
    <w:p>
      <w:pPr>
        <w:pStyle w:val="384"/>
      </w:pPr>
      <w:bookmarkStart w:id="50" w:name="_Toc179632578"/>
      <w:r>
        <w:rPr>
          <w:rFonts w:hint="eastAsia" w:ascii="黑体" w:hAnsi="黑体" w:cs="黑体"/>
        </w:rPr>
        <w:t>5.1 开标时间和地点</w:t>
      </w:r>
      <w:bookmarkEnd w:id="50"/>
    </w:p>
    <w:p>
      <w:pPr>
        <w:spacing w:line="400" w:lineRule="exact"/>
        <w:rPr>
          <w:rFonts w:ascii="宋体" w:hAnsi="宋体" w:cs="宋体"/>
          <w:sz w:val="24"/>
        </w:rPr>
      </w:pPr>
      <w:r>
        <w:rPr>
          <w:rFonts w:hint="eastAsia" w:ascii="宋体" w:hAnsi="宋体" w:cs="宋体"/>
          <w:sz w:val="24"/>
        </w:rPr>
        <w:t>5.1.1招标人在本章第2.2.2项规定的投标截止时间（开标时间）和投标人须知前附表规定的地点公开开标，并邀请所有投标人授权代理人及其特定人员准时参加。</w:t>
      </w:r>
    </w:p>
    <w:p>
      <w:pPr>
        <w:spacing w:line="400" w:lineRule="exact"/>
        <w:ind w:left="2"/>
        <w:rPr>
          <w:rFonts w:ascii="宋体" w:hAnsi="宋体" w:cs="宋体"/>
          <w:sz w:val="24"/>
        </w:rPr>
      </w:pPr>
      <w:r>
        <w:rPr>
          <w:rFonts w:hint="eastAsia" w:ascii="宋体" w:hAnsi="宋体" w:cs="宋体"/>
          <w:sz w:val="24"/>
        </w:rPr>
        <w:t>5.1.2 投标人授权代理人以及投标人须知前附表规定必须参加会议的特定人员均应在开标前到场，在招标人指定的登记册上签名报到，并带齐个人</w:t>
      </w:r>
      <w:r>
        <w:rPr>
          <w:rFonts w:hint="eastAsia"/>
          <w:sz w:val="24"/>
        </w:rPr>
        <w:t>身份证明书原件、法人授权委托书原件及个人身份证复印件和原件，由投标人授权代理人在开标前的代表身份检查程序中进行当场提交与核验（所有个人身份证原件于开标会现场查验后当场退还）。</w:t>
      </w:r>
      <w:r>
        <w:rPr>
          <w:rFonts w:hint="eastAsia" w:ascii="宋体" w:hAnsi="宋体" w:cs="宋体"/>
          <w:sz w:val="24"/>
        </w:rPr>
        <w:t>投标人授权代理人及投标人须知前附表规定必须参加会议的特定人员迟到或未到或不按要求出示其有效的身份证明文件的，其投标将被拒绝。</w:t>
      </w:r>
    </w:p>
    <w:p>
      <w:pPr>
        <w:spacing w:line="400" w:lineRule="exact"/>
        <w:rPr>
          <w:rFonts w:ascii="宋体" w:hAnsi="宋体" w:cs="宋体"/>
          <w:sz w:val="24"/>
        </w:rPr>
      </w:pPr>
      <w:r>
        <w:rPr>
          <w:rFonts w:hint="eastAsia" w:ascii="宋体" w:hAnsi="宋体" w:cs="宋体"/>
          <w:sz w:val="24"/>
        </w:rPr>
        <w:t>5.1.3 投标人参加开标会人员的身份证明文件要求见投标人须知前附表。</w:t>
      </w:r>
    </w:p>
    <w:p>
      <w:pPr>
        <w:pStyle w:val="384"/>
      </w:pPr>
      <w:bookmarkStart w:id="51" w:name="_Toc179632579"/>
    </w:p>
    <w:p>
      <w:pPr>
        <w:pStyle w:val="384"/>
        <w:rPr>
          <w:rFonts w:ascii="黑体" w:hAnsi="黑体" w:cs="黑体"/>
        </w:rPr>
      </w:pPr>
      <w:r>
        <w:rPr>
          <w:rFonts w:hint="eastAsia" w:ascii="黑体" w:hAnsi="黑体" w:cs="黑体"/>
        </w:rPr>
        <w:t>5.2 开标程序</w:t>
      </w:r>
      <w:bookmarkEnd w:id="51"/>
    </w:p>
    <w:p>
      <w:pPr>
        <w:spacing w:line="400" w:lineRule="exact"/>
        <w:rPr>
          <w:rFonts w:ascii="宋体" w:hAnsi="宋体" w:cs="宋体"/>
          <w:sz w:val="24"/>
        </w:rPr>
      </w:pPr>
      <w:r>
        <w:rPr>
          <w:rFonts w:hint="eastAsia" w:ascii="宋体" w:hAnsi="宋体" w:cs="宋体"/>
          <w:sz w:val="24"/>
        </w:rPr>
        <w:t>5.2.1主持人按下列程序对投标文件进行开标：</w:t>
      </w:r>
    </w:p>
    <w:p>
      <w:pPr>
        <w:spacing w:line="400" w:lineRule="exact"/>
        <w:rPr>
          <w:rFonts w:ascii="宋体" w:hAnsi="宋体" w:cs="宋体"/>
          <w:sz w:val="24"/>
        </w:rPr>
      </w:pPr>
      <w:r>
        <w:rPr>
          <w:rFonts w:hint="eastAsia" w:ascii="宋体" w:hAnsi="宋体" w:cs="宋体"/>
          <w:sz w:val="24"/>
        </w:rPr>
        <w:t xml:space="preserve">      （1）宣布开标纪律；</w:t>
      </w:r>
    </w:p>
    <w:p>
      <w:pPr>
        <w:spacing w:line="400" w:lineRule="exact"/>
        <w:ind w:left="840" w:hanging="840" w:hangingChars="350"/>
        <w:rPr>
          <w:rFonts w:ascii="宋体" w:hAnsi="宋体" w:cs="宋体"/>
          <w:sz w:val="24"/>
        </w:rPr>
      </w:pPr>
      <w:r>
        <w:rPr>
          <w:rFonts w:hint="eastAsia" w:ascii="宋体" w:hAnsi="宋体" w:cs="宋体"/>
          <w:sz w:val="24"/>
        </w:rPr>
        <w:t xml:space="preserve">      （2）公布在投标截止时间前递交投标文件的投标人名称，并点名确认投标人是否派人到场；</w:t>
      </w:r>
    </w:p>
    <w:p>
      <w:pPr>
        <w:spacing w:line="400" w:lineRule="exact"/>
        <w:rPr>
          <w:rFonts w:ascii="宋体" w:hAnsi="宋体" w:cs="宋体"/>
          <w:sz w:val="24"/>
        </w:rPr>
      </w:pPr>
      <w:r>
        <w:rPr>
          <w:rFonts w:hint="eastAsia" w:ascii="宋体" w:hAnsi="宋体" w:cs="宋体"/>
          <w:sz w:val="24"/>
        </w:rPr>
        <w:t xml:space="preserve">      （3）介绍参加开标会的人员；</w:t>
      </w:r>
    </w:p>
    <w:p>
      <w:pPr>
        <w:spacing w:line="400" w:lineRule="exact"/>
        <w:ind w:left="842" w:leftChars="1" w:hanging="840" w:hangingChars="350"/>
        <w:rPr>
          <w:rFonts w:ascii="宋体" w:hAnsi="宋体" w:cs="宋体"/>
          <w:sz w:val="24"/>
        </w:rPr>
      </w:pPr>
      <w:r>
        <w:rPr>
          <w:rFonts w:hint="eastAsia" w:ascii="宋体" w:hAnsi="宋体" w:cs="宋体"/>
          <w:sz w:val="24"/>
        </w:rPr>
        <w:t xml:space="preserve">      （4）按照投标人须知前附表规定检查投标人授权代理人（含特定人员）的身份及投标文件的密封情况；</w:t>
      </w:r>
    </w:p>
    <w:p>
      <w:pPr>
        <w:spacing w:line="400" w:lineRule="exact"/>
        <w:rPr>
          <w:rFonts w:ascii="宋体" w:hAnsi="宋体" w:cs="宋体"/>
          <w:sz w:val="24"/>
        </w:rPr>
      </w:pPr>
      <w:r>
        <w:rPr>
          <w:rFonts w:hint="eastAsia" w:ascii="宋体" w:hAnsi="宋体" w:cs="宋体"/>
          <w:sz w:val="24"/>
        </w:rPr>
        <w:t xml:space="preserve">      （5）按照投标人须知前附表的规定确定并宣布投标文件开标顺序；</w:t>
      </w:r>
    </w:p>
    <w:p>
      <w:pPr>
        <w:spacing w:line="400" w:lineRule="exact"/>
        <w:rPr>
          <w:rFonts w:ascii="宋体" w:hAnsi="宋体" w:cs="宋体"/>
          <w:sz w:val="24"/>
        </w:rPr>
      </w:pPr>
      <w:r>
        <w:rPr>
          <w:rFonts w:hint="eastAsia" w:ascii="宋体" w:hAnsi="宋体" w:cs="宋体"/>
          <w:sz w:val="24"/>
        </w:rPr>
        <w:t xml:space="preserve">      （6）设有标底的，公布标底；</w:t>
      </w:r>
    </w:p>
    <w:p>
      <w:pPr>
        <w:spacing w:line="400" w:lineRule="exact"/>
        <w:rPr>
          <w:rFonts w:ascii="宋体" w:hAnsi="宋体" w:cs="宋体"/>
          <w:sz w:val="24"/>
        </w:rPr>
      </w:pPr>
      <w:r>
        <w:rPr>
          <w:rFonts w:hint="eastAsia" w:ascii="宋体" w:hAnsi="宋体" w:cs="宋体"/>
          <w:sz w:val="24"/>
        </w:rPr>
        <w:t xml:space="preserve">      （7）按照宣布的开标顺序当众开标，公布投标人名称、标段名称、投标担保金的递交情况、投标报价及其他内容，并记录在案；</w:t>
      </w:r>
    </w:p>
    <w:p>
      <w:pPr>
        <w:spacing w:line="400" w:lineRule="exact"/>
        <w:rPr>
          <w:rFonts w:ascii="宋体" w:hAnsi="宋体" w:cs="宋体"/>
          <w:sz w:val="24"/>
        </w:rPr>
      </w:pPr>
      <w:r>
        <w:rPr>
          <w:rFonts w:hint="eastAsia" w:ascii="宋体" w:hAnsi="宋体" w:cs="宋体"/>
          <w:sz w:val="24"/>
        </w:rPr>
        <w:t xml:space="preserve">      （8）参加开标会的有关人员在开标记录上签字确认；</w:t>
      </w:r>
    </w:p>
    <w:p>
      <w:pPr>
        <w:spacing w:line="400" w:lineRule="exact"/>
        <w:rPr>
          <w:rFonts w:ascii="宋体" w:hAnsi="宋体" w:cs="宋体"/>
          <w:sz w:val="24"/>
        </w:rPr>
      </w:pPr>
      <w:r>
        <w:rPr>
          <w:rFonts w:hint="eastAsia" w:ascii="宋体" w:hAnsi="宋体" w:cs="宋体"/>
          <w:sz w:val="24"/>
        </w:rPr>
        <w:t xml:space="preserve">      （9）开标结束。</w:t>
      </w:r>
      <w:bookmarkStart w:id="52" w:name="_Toc179632580"/>
    </w:p>
    <w:p>
      <w:pPr>
        <w:spacing w:line="400" w:lineRule="exact"/>
        <w:rPr>
          <w:rFonts w:ascii="宋体" w:hAnsi="宋体" w:cs="宋体"/>
          <w:sz w:val="24"/>
        </w:rPr>
      </w:pPr>
      <w:r>
        <w:rPr>
          <w:rFonts w:hint="eastAsia" w:ascii="宋体" w:hAnsi="宋体" w:cs="宋体"/>
          <w:sz w:val="24"/>
        </w:rPr>
        <w:t>5.2.2 评标委员会成员不得参加开标会议。</w:t>
      </w:r>
    </w:p>
    <w:p>
      <w:pPr>
        <w:pStyle w:val="384"/>
      </w:pPr>
    </w:p>
    <w:p>
      <w:pPr>
        <w:pStyle w:val="384"/>
        <w:rPr>
          <w:rFonts w:ascii="黑体" w:hAnsi="黑体" w:cs="黑体"/>
        </w:rPr>
      </w:pPr>
      <w:r>
        <w:rPr>
          <w:rFonts w:hint="eastAsia" w:ascii="黑体" w:hAnsi="黑体" w:cs="黑体"/>
        </w:rPr>
        <w:t>5.3 开标异议</w:t>
      </w:r>
    </w:p>
    <w:p>
      <w:pPr>
        <w:spacing w:line="400" w:lineRule="exact"/>
        <w:rPr>
          <w:rFonts w:ascii="宋体" w:hAnsi="宋体" w:cs="宋体"/>
          <w:sz w:val="24"/>
        </w:rPr>
      </w:pPr>
      <w:r>
        <w:rPr>
          <w:rFonts w:hint="eastAsia" w:ascii="宋体" w:hAnsi="宋体" w:cs="宋体"/>
          <w:sz w:val="24"/>
        </w:rPr>
        <w:t>5.3.1投标人对开标有异议的，应当在开标现场提出，招标人当场作出答复，并制作记录。</w:t>
      </w:r>
    </w:p>
    <w:p>
      <w:pPr>
        <w:spacing w:line="400" w:lineRule="exact"/>
        <w:rPr>
          <w:rFonts w:ascii="宋体" w:hAnsi="宋体" w:cs="宋体"/>
          <w:sz w:val="24"/>
        </w:rPr>
      </w:pPr>
      <w:r>
        <w:rPr>
          <w:rFonts w:hint="eastAsia" w:ascii="宋体" w:hAnsi="宋体" w:cs="宋体"/>
          <w:sz w:val="24"/>
        </w:rPr>
        <w:t>5.3.2当开标过程发生争议无法确定投标文件的有效性时，则提交评标委员会裁决。</w:t>
      </w:r>
    </w:p>
    <w:p>
      <w:pPr>
        <w:pStyle w:val="387"/>
        <w:spacing w:before="0"/>
      </w:pPr>
    </w:p>
    <w:p>
      <w:pPr>
        <w:pStyle w:val="387"/>
        <w:spacing w:before="0"/>
        <w:rPr>
          <w:rFonts w:ascii="黑体" w:hAnsi="黑体" w:cs="黑体"/>
        </w:rPr>
      </w:pPr>
      <w:r>
        <w:rPr>
          <w:rFonts w:hint="eastAsia" w:ascii="黑体" w:hAnsi="黑体" w:cs="黑体"/>
        </w:rPr>
        <w:t>6. 评标</w:t>
      </w:r>
      <w:bookmarkEnd w:id="52"/>
    </w:p>
    <w:p>
      <w:pPr>
        <w:pStyle w:val="384"/>
        <w:rPr>
          <w:rFonts w:ascii="黑体" w:hAnsi="黑体" w:cs="黑体"/>
        </w:rPr>
      </w:pPr>
      <w:bookmarkStart w:id="53" w:name="_Toc179632581"/>
      <w:r>
        <w:rPr>
          <w:rFonts w:hint="eastAsia" w:ascii="黑体" w:hAnsi="黑体" w:cs="黑体"/>
        </w:rPr>
        <w:t>6.1 评标委员会</w:t>
      </w:r>
      <w:bookmarkEnd w:id="53"/>
    </w:p>
    <w:p>
      <w:pPr>
        <w:spacing w:line="400" w:lineRule="exact"/>
        <w:rPr>
          <w:rFonts w:ascii="宋体" w:hAnsi="宋体" w:cs="宋体"/>
          <w:sz w:val="24"/>
        </w:rPr>
      </w:pPr>
      <w:r>
        <w:rPr>
          <w:rFonts w:hint="eastAsia" w:ascii="宋体" w:hAnsi="宋体" w:cs="宋体"/>
          <w:sz w:val="24"/>
        </w:rPr>
        <w:t>6.1.1 评标由招标人依法组建的评标委员会负责。评标委员会成员人数以及技术、经济等方面专家的确定方式见投标人须知前附表。</w:t>
      </w:r>
    </w:p>
    <w:p>
      <w:pPr>
        <w:spacing w:line="400" w:lineRule="exact"/>
        <w:rPr>
          <w:rFonts w:ascii="宋体" w:hAnsi="宋体" w:cs="宋体"/>
          <w:sz w:val="24"/>
        </w:rPr>
      </w:pPr>
      <w:r>
        <w:rPr>
          <w:rFonts w:hint="eastAsia" w:ascii="宋体" w:hAnsi="宋体" w:cs="宋体"/>
          <w:sz w:val="24"/>
        </w:rPr>
        <w:t>6.1.2 评标委员会成员有下列情形之一的，应当回避：</w:t>
      </w:r>
    </w:p>
    <w:p>
      <w:pPr>
        <w:spacing w:line="400" w:lineRule="exact"/>
        <w:ind w:firstLine="820" w:firstLineChars="342"/>
        <w:rPr>
          <w:rFonts w:ascii="宋体" w:hAnsi="宋体" w:cs="宋体"/>
          <w:sz w:val="24"/>
        </w:rPr>
      </w:pPr>
      <w:r>
        <w:rPr>
          <w:rFonts w:hint="eastAsia" w:ascii="宋体" w:hAnsi="宋体" w:cs="宋体"/>
          <w:sz w:val="24"/>
        </w:rPr>
        <w:t>（1）招标人或投标人的主要负责人的近亲属；</w:t>
      </w:r>
    </w:p>
    <w:p>
      <w:pPr>
        <w:spacing w:line="400" w:lineRule="exact"/>
        <w:ind w:firstLine="820" w:firstLineChars="342"/>
        <w:rPr>
          <w:rFonts w:ascii="宋体" w:hAnsi="宋体" w:cs="宋体"/>
          <w:sz w:val="24"/>
        </w:rPr>
      </w:pPr>
      <w:r>
        <w:rPr>
          <w:rFonts w:hint="eastAsia" w:ascii="宋体" w:hAnsi="宋体" w:cs="宋体"/>
          <w:sz w:val="24"/>
        </w:rPr>
        <w:t>（2）项目主管部门或者行政监督部门的人员；</w:t>
      </w:r>
    </w:p>
    <w:p>
      <w:pPr>
        <w:spacing w:line="400" w:lineRule="exact"/>
        <w:ind w:firstLine="820" w:firstLineChars="342"/>
        <w:rPr>
          <w:rFonts w:ascii="宋体" w:hAnsi="宋体" w:cs="宋体"/>
          <w:sz w:val="24"/>
        </w:rPr>
      </w:pPr>
      <w:r>
        <w:rPr>
          <w:rFonts w:hint="eastAsia" w:ascii="宋体" w:hAnsi="宋体" w:cs="宋体"/>
          <w:sz w:val="24"/>
        </w:rPr>
        <w:t>（3）与投标人有经济利益关系，可能影响对投标公正评审的；</w:t>
      </w:r>
    </w:p>
    <w:p>
      <w:pPr>
        <w:spacing w:line="400" w:lineRule="exact"/>
        <w:ind w:left="939" w:leftChars="390" w:hanging="120" w:hangingChars="50"/>
        <w:rPr>
          <w:rFonts w:ascii="宋体" w:hAnsi="宋体" w:cs="宋体"/>
          <w:sz w:val="24"/>
        </w:rPr>
      </w:pPr>
      <w:r>
        <w:rPr>
          <w:rFonts w:hint="eastAsia" w:ascii="宋体" w:hAnsi="宋体" w:cs="宋体"/>
          <w:sz w:val="24"/>
        </w:rPr>
        <w:t>（4）曾因在招标、评标以及其他与招标投标有关活动中从事违法行为而受过行政处罚或刑事处罚的；</w:t>
      </w:r>
    </w:p>
    <w:p>
      <w:pPr>
        <w:spacing w:line="400" w:lineRule="exact"/>
        <w:ind w:firstLine="820" w:firstLineChars="342"/>
        <w:rPr>
          <w:rFonts w:ascii="宋体" w:hAnsi="宋体" w:cs="宋体"/>
          <w:sz w:val="24"/>
        </w:rPr>
      </w:pPr>
      <w:r>
        <w:rPr>
          <w:rFonts w:hint="eastAsia" w:ascii="宋体" w:hAnsi="宋体" w:cs="宋体"/>
          <w:sz w:val="24"/>
        </w:rPr>
        <w:t>（5）与投标人有其他利害关系。</w:t>
      </w:r>
    </w:p>
    <w:p>
      <w:pPr>
        <w:pStyle w:val="384"/>
        <w:tabs>
          <w:tab w:val="left" w:pos="2620"/>
        </w:tabs>
      </w:pPr>
      <w:bookmarkStart w:id="54" w:name="_Toc179632582"/>
    </w:p>
    <w:p>
      <w:pPr>
        <w:pStyle w:val="384"/>
        <w:tabs>
          <w:tab w:val="left" w:pos="2620"/>
        </w:tabs>
      </w:pPr>
      <w:r>
        <w:rPr>
          <w:rFonts w:hint="eastAsia" w:ascii="黑体" w:hAnsi="黑体" w:cs="黑体"/>
        </w:rPr>
        <w:t>6.2 评标原则</w:t>
      </w:r>
      <w:bookmarkEnd w:id="54"/>
      <w:r>
        <w:tab/>
      </w:r>
    </w:p>
    <w:p>
      <w:pPr>
        <w:spacing w:line="400" w:lineRule="exact"/>
        <w:ind w:firstLine="480" w:firstLineChars="200"/>
        <w:rPr>
          <w:sz w:val="24"/>
        </w:rPr>
      </w:pPr>
      <w:r>
        <w:rPr>
          <w:rFonts w:hint="eastAsia"/>
          <w:sz w:val="24"/>
        </w:rPr>
        <w:t>评标活动遵循公平、公正、科学和择优的原则。</w:t>
      </w:r>
    </w:p>
    <w:p>
      <w:pPr>
        <w:pStyle w:val="384"/>
        <w:rPr>
          <w:rFonts w:ascii="黑体" w:hAnsi="黑体" w:cs="黑体"/>
        </w:rPr>
      </w:pPr>
      <w:bookmarkStart w:id="55" w:name="_Toc179632583"/>
    </w:p>
    <w:p>
      <w:pPr>
        <w:pStyle w:val="384"/>
        <w:rPr>
          <w:rFonts w:ascii="黑体" w:hAnsi="黑体" w:cs="黑体"/>
        </w:rPr>
      </w:pPr>
      <w:r>
        <w:rPr>
          <w:rFonts w:hint="eastAsia" w:ascii="黑体" w:hAnsi="黑体" w:cs="黑体"/>
        </w:rPr>
        <w:t>6.3 评标</w:t>
      </w:r>
      <w:bookmarkEnd w:id="55"/>
    </w:p>
    <w:p>
      <w:pPr>
        <w:spacing w:line="400" w:lineRule="exact"/>
        <w:ind w:firstLine="480" w:firstLineChars="200"/>
        <w:rPr>
          <w:sz w:val="24"/>
        </w:rPr>
      </w:pPr>
      <w:r>
        <w:rPr>
          <w:rFonts w:hint="eastAsia"/>
          <w:sz w:val="24"/>
        </w:rPr>
        <w:t>评标委员会按照第三章“评标办法”规定的方法、评审因素、标准和程序对投标文件进行评审。第三章“评标办法”没有规定的方法、评审因素和标准，不作为评标依据。</w:t>
      </w:r>
    </w:p>
    <w:p>
      <w:pPr>
        <w:pStyle w:val="387"/>
        <w:spacing w:before="0"/>
        <w:rPr>
          <w:rFonts w:ascii="宋体" w:hAnsi="宋体" w:eastAsia="宋体"/>
        </w:rPr>
      </w:pPr>
      <w:bookmarkStart w:id="56" w:name="_Toc179632584"/>
    </w:p>
    <w:p>
      <w:pPr>
        <w:pStyle w:val="387"/>
        <w:spacing w:before="0"/>
        <w:rPr>
          <w:rFonts w:ascii="宋体" w:hAnsi="宋体" w:eastAsia="宋体"/>
        </w:rPr>
      </w:pPr>
      <w:r>
        <w:rPr>
          <w:rFonts w:hint="eastAsia" w:ascii="黑体" w:hAnsi="黑体" w:cs="黑体"/>
        </w:rPr>
        <w:t>7. 合同授予</w:t>
      </w:r>
      <w:bookmarkEnd w:id="56"/>
    </w:p>
    <w:p>
      <w:pPr>
        <w:pStyle w:val="384"/>
        <w:rPr>
          <w:rFonts w:ascii="黑体" w:hAnsi="黑体" w:cs="黑体"/>
        </w:rPr>
      </w:pPr>
      <w:bookmarkStart w:id="57" w:name="_Toc179632585"/>
      <w:r>
        <w:rPr>
          <w:rFonts w:hint="eastAsia" w:ascii="黑体" w:hAnsi="黑体" w:cs="黑体"/>
        </w:rPr>
        <w:t xml:space="preserve">7.1 </w:t>
      </w:r>
      <w:bookmarkEnd w:id="57"/>
      <w:r>
        <w:rPr>
          <w:rFonts w:hint="eastAsia" w:ascii="黑体" w:hAnsi="黑体" w:cs="黑体"/>
        </w:rPr>
        <w:t>中标候选人</w:t>
      </w:r>
    </w:p>
    <w:p>
      <w:pPr>
        <w:spacing w:line="400" w:lineRule="exact"/>
        <w:rPr>
          <w:rFonts w:ascii="宋体" w:hAnsi="宋体"/>
          <w:sz w:val="24"/>
        </w:rPr>
      </w:pPr>
      <w:r>
        <w:rPr>
          <w:rFonts w:hint="eastAsia" w:ascii="宋体" w:hAnsi="宋体"/>
          <w:sz w:val="24"/>
        </w:rPr>
        <w:t xml:space="preserve">    招标人依据评标委员会推荐的中标候选人确定中标人，评标委员会推荐中标候选人</w:t>
      </w:r>
    </w:p>
    <w:p>
      <w:pPr>
        <w:spacing w:line="400" w:lineRule="exact"/>
        <w:rPr>
          <w:rFonts w:ascii="宋体" w:hAnsi="宋体"/>
          <w:sz w:val="24"/>
        </w:rPr>
      </w:pPr>
      <w:r>
        <w:rPr>
          <w:rFonts w:hint="eastAsia" w:ascii="宋体" w:hAnsi="宋体"/>
          <w:sz w:val="24"/>
        </w:rPr>
        <w:t xml:space="preserve">    的人数见投标人须知前附表。</w:t>
      </w:r>
    </w:p>
    <w:p>
      <w:pPr>
        <w:pStyle w:val="384"/>
        <w:rPr>
          <w:rFonts w:ascii="宋体" w:hAnsi="宋体" w:eastAsia="宋体"/>
        </w:rPr>
      </w:pPr>
      <w:bookmarkStart w:id="58" w:name="_Toc179632586"/>
    </w:p>
    <w:p>
      <w:pPr>
        <w:pStyle w:val="384"/>
        <w:rPr>
          <w:rFonts w:ascii="黑体" w:hAnsi="黑体" w:cs="黑体"/>
        </w:rPr>
      </w:pPr>
      <w:r>
        <w:rPr>
          <w:rFonts w:hint="eastAsia" w:ascii="黑体" w:hAnsi="黑体" w:cs="黑体"/>
        </w:rPr>
        <w:t>7.2 中标</w:t>
      </w:r>
      <w:bookmarkEnd w:id="58"/>
      <w:r>
        <w:rPr>
          <w:rFonts w:hint="eastAsia" w:ascii="黑体" w:hAnsi="黑体" w:cs="黑体"/>
        </w:rPr>
        <w:t>候选人公示</w:t>
      </w:r>
    </w:p>
    <w:p>
      <w:pPr>
        <w:spacing w:line="400" w:lineRule="exact"/>
        <w:rPr>
          <w:rFonts w:ascii="宋体" w:hAnsi="宋体"/>
          <w:sz w:val="24"/>
        </w:rPr>
      </w:pPr>
      <w:r>
        <w:rPr>
          <w:rFonts w:hint="eastAsia" w:ascii="宋体" w:hAnsi="宋体"/>
          <w:sz w:val="24"/>
        </w:rPr>
        <w:t>7.2.1招标人在投标人须知前附表规定的媒介公示中标候选人，公示期为3个工作日。</w:t>
      </w:r>
    </w:p>
    <w:p>
      <w:pPr>
        <w:spacing w:line="400" w:lineRule="exact"/>
        <w:rPr>
          <w:rFonts w:ascii="宋体" w:hAnsi="宋体"/>
          <w:sz w:val="24"/>
        </w:rPr>
      </w:pPr>
      <w:r>
        <w:rPr>
          <w:rFonts w:hint="eastAsia" w:ascii="宋体" w:hAnsi="宋体"/>
          <w:sz w:val="24"/>
        </w:rPr>
        <w:t>7.2.2投标人或者其他利害关系人对评标结果有异议的，应当在公示期间提出。</w:t>
      </w:r>
    </w:p>
    <w:p>
      <w:pPr>
        <w:spacing w:line="400" w:lineRule="exact"/>
        <w:rPr>
          <w:rFonts w:ascii="黑体" w:hAnsi="黑体" w:eastAsia="黑体" w:cs="黑体"/>
          <w:sz w:val="24"/>
        </w:rPr>
      </w:pPr>
    </w:p>
    <w:p>
      <w:pPr>
        <w:spacing w:line="400" w:lineRule="exact"/>
        <w:rPr>
          <w:rFonts w:ascii="黑体" w:hAnsi="黑体" w:eastAsia="黑体" w:cs="黑体"/>
          <w:sz w:val="24"/>
        </w:rPr>
      </w:pPr>
      <w:r>
        <w:rPr>
          <w:rFonts w:hint="eastAsia" w:ascii="黑体" w:hAnsi="黑体" w:eastAsia="黑体" w:cs="黑体"/>
          <w:sz w:val="24"/>
        </w:rPr>
        <w:t>7.3 定标</w:t>
      </w:r>
    </w:p>
    <w:p>
      <w:pPr>
        <w:spacing w:line="400" w:lineRule="exact"/>
        <w:rPr>
          <w:rFonts w:ascii="宋体" w:hAnsi="宋体"/>
          <w:sz w:val="24"/>
        </w:rPr>
      </w:pPr>
      <w:r>
        <w:rPr>
          <w:rFonts w:hint="eastAsia" w:ascii="宋体" w:hAnsi="宋体"/>
          <w:sz w:val="24"/>
        </w:rPr>
        <w:t>7.3.1 经公示无异议后，招标人确定中标候选人为中标人。</w:t>
      </w:r>
    </w:p>
    <w:p>
      <w:pPr>
        <w:spacing w:line="400" w:lineRule="exact"/>
        <w:rPr>
          <w:rFonts w:ascii="宋体" w:hAnsi="宋体"/>
          <w:sz w:val="24"/>
        </w:rPr>
      </w:pPr>
      <w:r>
        <w:rPr>
          <w:rFonts w:hint="eastAsia" w:ascii="宋体" w:hAnsi="宋体"/>
          <w:sz w:val="24"/>
        </w:rPr>
        <w:t>7.3.2 如中标候选人因自身原因放弃中标，或被行政监督主管部门取消中标资格，或因不可抗力等原因不能履行中标义务，或在规定的期限内未能与招标人签订合同时，招标人将宣布中标候选人中标无效，招标人将依法重新组织招标。</w:t>
      </w:r>
    </w:p>
    <w:p>
      <w:pPr>
        <w:pStyle w:val="384"/>
        <w:rPr>
          <w:rFonts w:ascii="宋体" w:hAnsi="宋体" w:eastAsia="宋体"/>
        </w:rPr>
      </w:pPr>
      <w:bookmarkStart w:id="59" w:name="_Toc179632587"/>
    </w:p>
    <w:p>
      <w:pPr>
        <w:pStyle w:val="384"/>
        <w:rPr>
          <w:rFonts w:ascii="黑体" w:hAnsi="黑体" w:cs="黑体"/>
        </w:rPr>
      </w:pPr>
      <w:r>
        <w:rPr>
          <w:rFonts w:hint="eastAsia" w:ascii="黑体" w:hAnsi="黑体" w:cs="黑体"/>
        </w:rPr>
        <w:t>7.4 中标通知</w:t>
      </w:r>
    </w:p>
    <w:p>
      <w:pPr>
        <w:spacing w:line="400" w:lineRule="exact"/>
        <w:ind w:left="2"/>
        <w:rPr>
          <w:rFonts w:ascii="宋体" w:hAnsi="宋体"/>
          <w:sz w:val="24"/>
        </w:rPr>
      </w:pPr>
      <w:r>
        <w:rPr>
          <w:rFonts w:hint="eastAsia" w:ascii="宋体" w:hAnsi="宋体"/>
          <w:sz w:val="24"/>
        </w:rPr>
        <w:t xml:space="preserve">    中标人确定后，招标人将在七日内向中标人发出中标通知书，同时将中标结果通知其他投标人。</w:t>
      </w:r>
    </w:p>
    <w:p>
      <w:pPr>
        <w:pStyle w:val="384"/>
        <w:rPr>
          <w:rFonts w:ascii="黑体" w:hAnsi="黑体" w:cs="黑体"/>
        </w:rPr>
      </w:pPr>
    </w:p>
    <w:p>
      <w:pPr>
        <w:pStyle w:val="384"/>
      </w:pPr>
      <w:r>
        <w:rPr>
          <w:rFonts w:hint="eastAsia" w:ascii="黑体" w:hAnsi="黑体" w:cs="黑体"/>
        </w:rPr>
        <w:t>7.5 履约担保</w:t>
      </w:r>
      <w:bookmarkEnd w:id="59"/>
      <w:r>
        <w:rPr>
          <w:rFonts w:hint="eastAsia" w:ascii="黑体" w:hAnsi="黑体" w:cs="黑体"/>
        </w:rPr>
        <w:t>(本项目不适用)</w:t>
      </w:r>
    </w:p>
    <w:p>
      <w:pPr>
        <w:spacing w:line="400" w:lineRule="exact"/>
        <w:rPr>
          <w:rFonts w:ascii="宋体" w:hAnsi="宋体" w:cs="宋体"/>
          <w:sz w:val="24"/>
        </w:rPr>
      </w:pPr>
      <w:r>
        <w:rPr>
          <w:rFonts w:hint="eastAsia" w:ascii="宋体" w:hAnsi="宋体" w:cs="宋体"/>
          <w:sz w:val="24"/>
        </w:rPr>
        <w:t>7.5.1 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rPr>
          <w:rFonts w:ascii="宋体" w:hAnsi="宋体" w:cs="宋体"/>
          <w:sz w:val="24"/>
        </w:rPr>
      </w:pPr>
      <w:r>
        <w:rPr>
          <w:rFonts w:hint="eastAsia" w:ascii="宋体" w:hAnsi="宋体" w:cs="宋体"/>
          <w:sz w:val="24"/>
        </w:rPr>
        <w:t>7.5.2 中标人不能按本章第7.5.1项要求提交履约担保的，视为放弃中标，其投标保证金不予退还，给招标人造成的损失超过投标保证金数额的，中标人还应当对超过部分予以赔偿。</w:t>
      </w:r>
    </w:p>
    <w:p>
      <w:pPr>
        <w:spacing w:line="400" w:lineRule="exact"/>
        <w:ind w:left="2"/>
        <w:rPr>
          <w:rFonts w:ascii="宋体" w:hAnsi="宋体" w:cs="宋体"/>
          <w:sz w:val="24"/>
        </w:rPr>
      </w:pPr>
      <w:r>
        <w:rPr>
          <w:rFonts w:hint="eastAsia" w:ascii="宋体" w:hAnsi="宋体" w:cs="宋体"/>
          <w:sz w:val="24"/>
        </w:rPr>
        <w:t>7.5.3 除政府投资的建设工程外，招标人应同时向中标人提供同等数额的工程款支付担保。</w:t>
      </w:r>
    </w:p>
    <w:p>
      <w:pPr>
        <w:pStyle w:val="384"/>
        <w:rPr>
          <w:rFonts w:ascii="宋体" w:hAnsi="宋体" w:eastAsia="宋体"/>
        </w:rPr>
      </w:pPr>
      <w:bookmarkStart w:id="60" w:name="_Toc179632588"/>
    </w:p>
    <w:p>
      <w:pPr>
        <w:pStyle w:val="384"/>
        <w:rPr>
          <w:rFonts w:ascii="黑体" w:hAnsi="黑体" w:cs="黑体"/>
        </w:rPr>
      </w:pPr>
      <w:r>
        <w:rPr>
          <w:rFonts w:hint="eastAsia" w:ascii="黑体" w:hAnsi="黑体" w:cs="黑体"/>
        </w:rPr>
        <w:t>7.6 签订合同</w:t>
      </w:r>
      <w:bookmarkEnd w:id="60"/>
    </w:p>
    <w:p>
      <w:pPr>
        <w:spacing w:line="400" w:lineRule="exact"/>
        <w:rPr>
          <w:rFonts w:ascii="宋体" w:hAnsi="宋体"/>
          <w:sz w:val="24"/>
        </w:rPr>
      </w:pPr>
      <w:r>
        <w:rPr>
          <w:rFonts w:hint="eastAsia" w:ascii="宋体" w:hAnsi="宋体"/>
          <w:sz w:val="24"/>
        </w:rPr>
        <w:t xml:space="preserve">7.6.1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400" w:lineRule="exact"/>
        <w:rPr>
          <w:rFonts w:ascii="宋体" w:hAnsi="宋体"/>
          <w:sz w:val="24"/>
        </w:rPr>
      </w:pPr>
      <w:r>
        <w:rPr>
          <w:rFonts w:hint="eastAsia" w:ascii="宋体" w:hAnsi="宋体"/>
          <w:sz w:val="24"/>
        </w:rPr>
        <w:t>7.6.2 发出中标通知书后，招标人无正当理由拒签合同的，招标人向中标人退还投标保证金；给中标人造成损失的，还应当赔偿损失。</w:t>
      </w:r>
    </w:p>
    <w:p>
      <w:pPr>
        <w:spacing w:line="400" w:lineRule="exact"/>
        <w:ind w:left="2"/>
        <w:rPr>
          <w:rFonts w:ascii="宋体" w:hAnsi="宋体"/>
          <w:sz w:val="24"/>
        </w:rPr>
      </w:pPr>
      <w:r>
        <w:rPr>
          <w:rFonts w:hint="eastAsia" w:ascii="宋体" w:hAnsi="宋体"/>
          <w:sz w:val="24"/>
        </w:rPr>
        <w:t>7.6.3 在签订建设工程施工合同之前，招标人可以根据招标文件及中标人的投标文件约谈项目管理机构主要人员。中标人应积极配合，否则，须自行承担由此造成的一切延误后果。中标人更换项目管理机构主要人员的，应按相关规定经过批准，且更换的人员不得低于原拟派人员的所有条件。</w:t>
      </w:r>
    </w:p>
    <w:p>
      <w:pPr>
        <w:spacing w:line="400" w:lineRule="exact"/>
        <w:rPr>
          <w:rFonts w:ascii="宋体" w:hAnsi="宋体"/>
          <w:sz w:val="24"/>
        </w:rPr>
      </w:pPr>
      <w:r>
        <w:rPr>
          <w:rFonts w:hint="eastAsia" w:ascii="宋体" w:hAnsi="宋体"/>
          <w:sz w:val="24"/>
        </w:rPr>
        <w:t>7.6.4 签订建设工程施工合同时，签约双方应出示法定代表人证明书或其代理人授权书。</w:t>
      </w:r>
    </w:p>
    <w:p>
      <w:pPr>
        <w:spacing w:line="400" w:lineRule="exact"/>
        <w:rPr>
          <w:rFonts w:ascii="宋体" w:hAnsi="宋体"/>
          <w:sz w:val="24"/>
        </w:rPr>
      </w:pPr>
      <w:r>
        <w:rPr>
          <w:rFonts w:hint="eastAsia" w:ascii="宋体" w:hAnsi="宋体"/>
          <w:sz w:val="24"/>
        </w:rPr>
        <w:t>7.6.5 如果中标人未能按本须知的规定与招标人签订书面合同的，招标人将宣布其中标无效，其投标保证金不予退还。在此情况下，招标人将依法重新组织招标。</w:t>
      </w:r>
    </w:p>
    <w:p>
      <w:pPr>
        <w:pStyle w:val="387"/>
        <w:spacing w:before="0"/>
      </w:pPr>
      <w:bookmarkStart w:id="61" w:name="_Toc179632589"/>
    </w:p>
    <w:p>
      <w:pPr>
        <w:pStyle w:val="387"/>
        <w:spacing w:before="0"/>
        <w:rPr>
          <w:rFonts w:ascii="黑体" w:hAnsi="黑体" w:cs="黑体"/>
        </w:rPr>
      </w:pPr>
      <w:r>
        <w:rPr>
          <w:rFonts w:hint="eastAsia" w:ascii="黑体" w:hAnsi="黑体" w:cs="黑体"/>
        </w:rPr>
        <w:t>8. 重新招标和不再招标</w:t>
      </w:r>
      <w:bookmarkEnd w:id="61"/>
    </w:p>
    <w:p>
      <w:pPr>
        <w:pStyle w:val="384"/>
        <w:rPr>
          <w:rFonts w:ascii="黑体" w:hAnsi="黑体" w:cs="黑体"/>
        </w:rPr>
      </w:pPr>
      <w:bookmarkStart w:id="62" w:name="_Toc179632590"/>
      <w:r>
        <w:rPr>
          <w:rFonts w:hint="eastAsia" w:ascii="黑体" w:hAnsi="黑体" w:cs="黑体"/>
        </w:rPr>
        <w:t>8.1 重新招标</w:t>
      </w:r>
      <w:bookmarkEnd w:id="62"/>
    </w:p>
    <w:p>
      <w:pPr>
        <w:spacing w:line="400" w:lineRule="exact"/>
        <w:ind w:firstLine="480" w:firstLineChars="200"/>
        <w:rPr>
          <w:rFonts w:ascii="宋体" w:hAnsi="宋体" w:cs="宋体"/>
          <w:sz w:val="24"/>
        </w:rPr>
      </w:pPr>
      <w:r>
        <w:rPr>
          <w:rFonts w:hint="eastAsia" w:ascii="宋体" w:hAnsi="宋体" w:cs="宋体"/>
          <w:sz w:val="24"/>
        </w:rPr>
        <w:t>有下列情形之一的，招标人将重新招标：</w:t>
      </w:r>
    </w:p>
    <w:p>
      <w:pPr>
        <w:spacing w:line="400" w:lineRule="exact"/>
        <w:ind w:firstLine="480" w:firstLineChars="200"/>
        <w:rPr>
          <w:rFonts w:ascii="宋体" w:hAnsi="宋体"/>
          <w:sz w:val="24"/>
        </w:rPr>
      </w:pPr>
      <w:r>
        <w:rPr>
          <w:rFonts w:hint="eastAsia" w:ascii="宋体" w:hAnsi="宋体"/>
          <w:sz w:val="24"/>
        </w:rPr>
        <w:t>（1）投标截止时间止，投标人少于3个的；</w:t>
      </w:r>
    </w:p>
    <w:p>
      <w:pPr>
        <w:spacing w:line="400" w:lineRule="exact"/>
        <w:ind w:firstLine="480" w:firstLineChars="200"/>
        <w:rPr>
          <w:rFonts w:ascii="宋体" w:hAnsi="宋体"/>
          <w:sz w:val="24"/>
        </w:rPr>
      </w:pPr>
      <w:r>
        <w:rPr>
          <w:rFonts w:hint="eastAsia" w:ascii="宋体" w:hAnsi="宋体"/>
          <w:sz w:val="24"/>
        </w:rPr>
        <w:t>（2）通过资格审查的投标人少于3个的；</w:t>
      </w:r>
    </w:p>
    <w:p>
      <w:pPr>
        <w:spacing w:line="400" w:lineRule="exact"/>
        <w:ind w:firstLine="480" w:firstLineChars="200"/>
        <w:rPr>
          <w:rFonts w:ascii="宋体" w:hAnsi="宋体"/>
          <w:sz w:val="24"/>
        </w:rPr>
      </w:pPr>
      <w:r>
        <w:rPr>
          <w:rFonts w:hint="eastAsia" w:ascii="宋体" w:hAnsi="宋体"/>
          <w:sz w:val="24"/>
        </w:rPr>
        <w:t>（3）经评标委员会评审通过初步评审的有效投标的投标人少于3个的；</w:t>
      </w:r>
    </w:p>
    <w:p>
      <w:pPr>
        <w:spacing w:line="400" w:lineRule="exact"/>
        <w:ind w:firstLine="480" w:firstLineChars="200"/>
        <w:rPr>
          <w:rFonts w:ascii="宋体" w:hAnsi="宋体"/>
          <w:sz w:val="24"/>
        </w:rPr>
      </w:pPr>
      <w:r>
        <w:rPr>
          <w:rFonts w:hint="eastAsia" w:ascii="宋体" w:hAnsi="宋体"/>
          <w:sz w:val="24"/>
        </w:rPr>
        <w:t>（4）经评标委员会评审后否决所有投标的。</w:t>
      </w:r>
    </w:p>
    <w:p>
      <w:pPr>
        <w:pStyle w:val="384"/>
        <w:rPr>
          <w:rFonts w:ascii="宋体" w:hAnsi="宋体" w:eastAsia="宋体"/>
        </w:rPr>
      </w:pPr>
      <w:bookmarkStart w:id="63" w:name="_Toc179632591"/>
    </w:p>
    <w:p>
      <w:pPr>
        <w:pStyle w:val="384"/>
      </w:pPr>
      <w:r>
        <w:rPr>
          <w:rFonts w:hint="eastAsia" w:ascii="黑体" w:hAnsi="黑体" w:cs="黑体"/>
        </w:rPr>
        <w:t>8.2 不再招标</w:t>
      </w:r>
      <w:bookmarkEnd w:id="63"/>
    </w:p>
    <w:p>
      <w:pPr>
        <w:spacing w:line="400" w:lineRule="exact"/>
        <w:ind w:left="478" w:leftChars="228"/>
        <w:rPr>
          <w:rFonts w:ascii="宋体" w:hAnsi="宋体"/>
          <w:sz w:val="24"/>
        </w:rPr>
      </w:pPr>
      <w:r>
        <w:rPr>
          <w:rFonts w:hint="eastAsia" w:ascii="宋体" w:hAnsi="宋体"/>
          <w:sz w:val="24"/>
        </w:rPr>
        <w:t>重新招标后投标人仍少于3个或者所有投标被否决的，属于必须招标的工程建设项目，经批准后不再进行招标。</w:t>
      </w:r>
    </w:p>
    <w:p>
      <w:pPr>
        <w:pStyle w:val="387"/>
        <w:spacing w:before="0"/>
      </w:pPr>
      <w:bookmarkStart w:id="64" w:name="_Toc179632592"/>
    </w:p>
    <w:p>
      <w:pPr>
        <w:pStyle w:val="387"/>
        <w:spacing w:before="0"/>
        <w:rPr>
          <w:rFonts w:ascii="黑体" w:hAnsi="黑体" w:cs="黑体"/>
        </w:rPr>
      </w:pPr>
      <w:r>
        <w:rPr>
          <w:rFonts w:hint="eastAsia" w:ascii="黑体" w:hAnsi="黑体" w:cs="黑体"/>
        </w:rPr>
        <w:t>9. 纪律和监督</w:t>
      </w:r>
      <w:bookmarkEnd w:id="64"/>
    </w:p>
    <w:p>
      <w:pPr>
        <w:pStyle w:val="384"/>
        <w:rPr>
          <w:rFonts w:ascii="黑体" w:hAnsi="黑体" w:cs="黑体"/>
        </w:rPr>
      </w:pPr>
      <w:bookmarkStart w:id="65" w:name="_Toc179632593"/>
      <w:r>
        <w:rPr>
          <w:rFonts w:hint="eastAsia" w:ascii="黑体" w:hAnsi="黑体" w:cs="黑体"/>
        </w:rPr>
        <w:t>9.1 对招标人的纪律要求</w:t>
      </w:r>
      <w:bookmarkEnd w:id="65"/>
    </w:p>
    <w:p>
      <w:pPr>
        <w:spacing w:line="400" w:lineRule="exact"/>
        <w:ind w:firstLine="480" w:firstLineChars="200"/>
        <w:rPr>
          <w:sz w:val="24"/>
        </w:rPr>
      </w:pPr>
      <w:r>
        <w:rPr>
          <w:rFonts w:hint="eastAsia"/>
          <w:sz w:val="24"/>
        </w:rPr>
        <w:t>招标人不得泄漏招标投标活动中应当保密的情况和资料，不得与投标人串通损害国家利益、社会公共利益或者他人合法权益。</w:t>
      </w:r>
    </w:p>
    <w:p>
      <w:pPr>
        <w:pStyle w:val="384"/>
      </w:pPr>
      <w:bookmarkStart w:id="66" w:name="_Toc179632594"/>
    </w:p>
    <w:p>
      <w:pPr>
        <w:pStyle w:val="384"/>
      </w:pPr>
      <w:r>
        <w:rPr>
          <w:rFonts w:hint="eastAsia" w:ascii="黑体" w:hAnsi="黑体" w:cs="黑体"/>
        </w:rPr>
        <w:t>9.2 对投标人的纪律要求</w:t>
      </w:r>
      <w:bookmarkEnd w:id="66"/>
    </w:p>
    <w:p>
      <w:pPr>
        <w:spacing w:line="400" w:lineRule="exact"/>
        <w:ind w:firstLine="480" w:firstLineChars="200"/>
        <w:rPr>
          <w:sz w:val="24"/>
        </w:rPr>
      </w:pPr>
      <w:r>
        <w:rPr>
          <w:rFonts w:hint="eastAsia"/>
          <w:sz w:val="24"/>
        </w:rPr>
        <w:t>投标人不得相互串通投标或者与招标人串通投标，不得向招标人或者评标委员会成员 行贿谋取中标，不得以他人名义投标或者以其他方式弄虚作假骗取中标；投标人不得以任何方式干扰、影响评标工作。</w:t>
      </w:r>
    </w:p>
    <w:p>
      <w:pPr>
        <w:pStyle w:val="384"/>
        <w:rPr>
          <w:rFonts w:ascii="黑体" w:hAnsi="黑体" w:cs="黑体"/>
        </w:rPr>
      </w:pPr>
      <w:bookmarkStart w:id="67" w:name="_Toc179632595"/>
    </w:p>
    <w:p>
      <w:pPr>
        <w:pStyle w:val="384"/>
        <w:rPr>
          <w:rFonts w:ascii="黑体" w:hAnsi="黑体" w:cs="黑体"/>
        </w:rPr>
      </w:pPr>
      <w:r>
        <w:rPr>
          <w:rFonts w:hint="eastAsia" w:ascii="黑体" w:hAnsi="黑体" w:cs="黑体"/>
        </w:rPr>
        <w:t>9.3 对评标委员会成员的纪律要求</w:t>
      </w:r>
      <w:bookmarkEnd w:id="67"/>
    </w:p>
    <w:p>
      <w:pPr>
        <w:spacing w:line="400" w:lineRule="exact"/>
        <w:ind w:firstLine="480" w:firstLineChars="200"/>
        <w:rPr>
          <w:sz w:val="24"/>
        </w:rPr>
      </w:pPr>
      <w:r>
        <w:rPr>
          <w:rFonts w:hint="eastAsia"/>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384"/>
      </w:pPr>
      <w:bookmarkStart w:id="68" w:name="_Toc179632596"/>
    </w:p>
    <w:p>
      <w:pPr>
        <w:pStyle w:val="384"/>
        <w:rPr>
          <w:rFonts w:ascii="黑体" w:hAnsi="黑体" w:cs="黑体"/>
        </w:rPr>
      </w:pPr>
      <w:r>
        <w:rPr>
          <w:rFonts w:hint="eastAsia" w:ascii="黑体" w:hAnsi="黑体" w:cs="黑体"/>
        </w:rPr>
        <w:t>9.4 对与评标活动有关的工作人员的纪律要求</w:t>
      </w:r>
      <w:bookmarkEnd w:id="68"/>
    </w:p>
    <w:p>
      <w:pPr>
        <w:spacing w:line="400" w:lineRule="exact"/>
        <w:ind w:firstLine="480" w:firstLineChars="200"/>
        <w:rPr>
          <w:sz w:val="24"/>
        </w:rPr>
      </w:pPr>
      <w:r>
        <w:rPr>
          <w:rFonts w:hint="eastAsia"/>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384"/>
        <w:rPr>
          <w:rFonts w:ascii="宋体" w:hAnsi="宋体" w:eastAsia="宋体"/>
          <w:szCs w:val="24"/>
        </w:rPr>
      </w:pPr>
      <w:bookmarkStart w:id="69" w:name="_Toc179632597"/>
    </w:p>
    <w:p>
      <w:pPr>
        <w:pStyle w:val="384"/>
        <w:rPr>
          <w:rFonts w:ascii="黑体" w:hAnsi="黑体" w:cs="黑体"/>
          <w:szCs w:val="24"/>
        </w:rPr>
      </w:pPr>
      <w:r>
        <w:rPr>
          <w:rFonts w:hint="eastAsia" w:ascii="黑体" w:hAnsi="黑体" w:cs="黑体"/>
          <w:szCs w:val="24"/>
        </w:rPr>
        <w:t>9.5 异议和投诉</w:t>
      </w:r>
      <w:bookmarkEnd w:id="69"/>
    </w:p>
    <w:p>
      <w:pPr>
        <w:spacing w:line="400" w:lineRule="exact"/>
        <w:rPr>
          <w:rFonts w:ascii="宋体" w:hAnsi="宋体"/>
          <w:sz w:val="24"/>
        </w:rPr>
      </w:pPr>
      <w:r>
        <w:rPr>
          <w:rFonts w:hint="eastAsia" w:ascii="宋体" w:hAnsi="宋体"/>
          <w:sz w:val="24"/>
        </w:rPr>
        <w:t>9.5.1投标人或者其他利害关系人认为招标投标活动不符合法律法规规定或不合理不公平的，应当先向招标人提出异议。投标人和其他利害关系人对招标文件（含投标邀请书）的异议应当在在投标截止时间5日前提出；对开标有异议的，应当在开标现场提出；对评标结果有异议的，应当在中标候选人公示期间提出。</w:t>
      </w:r>
    </w:p>
    <w:p>
      <w:pPr>
        <w:spacing w:line="400" w:lineRule="exact"/>
        <w:ind w:left="2"/>
        <w:rPr>
          <w:rFonts w:ascii="宋体" w:hAnsi="宋体"/>
          <w:sz w:val="24"/>
        </w:rPr>
      </w:pPr>
      <w:r>
        <w:rPr>
          <w:rFonts w:hint="eastAsia" w:ascii="宋体" w:hAnsi="宋体"/>
          <w:sz w:val="24"/>
        </w:rPr>
        <w:t>9.5.2对招标人答复不满意或招标人未在规定时间内做出答复的，投标人或者其他利害关系人可以自知道或者应当知道之日起10日内向有关行政监督部门投诉。投诉应当有明确的请求和合法、必要的证明材料。</w:t>
      </w:r>
    </w:p>
    <w:p>
      <w:pPr>
        <w:spacing w:line="400" w:lineRule="exact"/>
        <w:ind w:left="2"/>
        <w:rPr>
          <w:rFonts w:ascii="宋体" w:hAnsi="宋体"/>
          <w:sz w:val="24"/>
        </w:rPr>
      </w:pPr>
      <w:r>
        <w:rPr>
          <w:rFonts w:hint="eastAsia" w:ascii="宋体" w:hAnsi="宋体"/>
          <w:sz w:val="24"/>
        </w:rPr>
        <w:t>9.5.3 招标人认为招标投标活动不符合法律、行政法规规定的，也可以自知道或者应当知道之日起10日内向有关行政监督部门投诉。但投诉只限于那些不能自行处理，必须通过行政救济途径才能解决的问题。</w:t>
      </w:r>
    </w:p>
    <w:p>
      <w:pPr>
        <w:pStyle w:val="387"/>
        <w:spacing w:before="0"/>
      </w:pPr>
      <w:bookmarkStart w:id="70" w:name="_Toc179632598"/>
    </w:p>
    <w:p>
      <w:pPr>
        <w:pStyle w:val="387"/>
        <w:spacing w:before="0"/>
      </w:pPr>
      <w:r>
        <w:rPr>
          <w:rFonts w:hint="eastAsia" w:ascii="黑体" w:hAnsi="黑体" w:cs="黑体"/>
        </w:rPr>
        <w:t>10.需要补充的其他内容</w:t>
      </w:r>
      <w:bookmarkEnd w:id="70"/>
    </w:p>
    <w:p>
      <w:pPr>
        <w:spacing w:line="400" w:lineRule="exact"/>
        <w:ind w:firstLine="480" w:firstLineChars="200"/>
        <w:rPr>
          <w:sz w:val="24"/>
        </w:rPr>
      </w:pPr>
      <w:r>
        <w:rPr>
          <w:rFonts w:hint="eastAsia"/>
          <w:sz w:val="24"/>
        </w:rPr>
        <w:t>需要补充的其他内容：见投标人须知前附表。</w:t>
      </w:r>
    </w:p>
    <w:p>
      <w:pPr>
        <w:spacing w:line="400" w:lineRule="exact"/>
        <w:ind w:firstLine="480" w:firstLineChars="200"/>
        <w:rPr>
          <w:sz w:val="24"/>
        </w:rPr>
      </w:pPr>
    </w:p>
    <w:p>
      <w:pPr>
        <w:spacing w:line="400" w:lineRule="exact"/>
        <w:ind w:firstLine="420" w:firstLineChars="200"/>
      </w:pPr>
    </w:p>
    <w:p>
      <w:pPr>
        <w:pStyle w:val="384"/>
        <w:outlineLvl w:val="1"/>
      </w:pPr>
    </w:p>
    <w:p>
      <w:pPr>
        <w:spacing w:line="240" w:lineRule="atLeast"/>
        <w:rPr>
          <w:sz w:val="24"/>
        </w:rPr>
      </w:pPr>
    </w:p>
    <w:p>
      <w:pPr>
        <w:spacing w:line="400" w:lineRule="exact"/>
      </w:pPr>
    </w:p>
    <w:p>
      <w:pPr>
        <w:pStyle w:val="384"/>
        <w:outlineLvl w:val="1"/>
        <w:rPr>
          <w:rFonts w:ascii="黑体" w:hAnsi="黑体" w:cs="黑体"/>
        </w:rPr>
      </w:pPr>
      <w:r>
        <w:br w:type="page"/>
      </w:r>
      <w:bookmarkStart w:id="71" w:name="_Toc144974549"/>
      <w:bookmarkStart w:id="72" w:name="_Toc152045582"/>
      <w:bookmarkStart w:id="73" w:name="_Toc359208474"/>
      <w:bookmarkStart w:id="74" w:name="_Toc152042359"/>
      <w:r>
        <w:rPr>
          <w:rFonts w:hint="eastAsia" w:ascii="黑体" w:hAnsi="黑体" w:cs="黑体"/>
        </w:rPr>
        <w:t>附表一：问题澄清通知</w:t>
      </w:r>
      <w:bookmarkEnd w:id="71"/>
      <w:bookmarkEnd w:id="72"/>
      <w:bookmarkEnd w:id="73"/>
      <w:bookmarkEnd w:id="74"/>
    </w:p>
    <w:p>
      <w:pPr>
        <w:spacing w:line="440" w:lineRule="exact"/>
        <w:jc w:val="center"/>
        <w:rPr>
          <w:szCs w:val="21"/>
        </w:rPr>
      </w:pPr>
    </w:p>
    <w:p>
      <w:pPr>
        <w:spacing w:line="440" w:lineRule="exact"/>
        <w:jc w:val="center"/>
        <w:rPr>
          <w:rFonts w:eastAsia="黑体"/>
          <w:sz w:val="28"/>
          <w:szCs w:val="28"/>
        </w:rPr>
      </w:pPr>
      <w:r>
        <w:rPr>
          <w:rFonts w:eastAsia="黑体"/>
          <w:sz w:val="28"/>
          <w:szCs w:val="28"/>
        </w:rPr>
        <w:t>问题澄清通知</w:t>
      </w:r>
    </w:p>
    <w:p>
      <w:pPr>
        <w:spacing w:line="440" w:lineRule="exact"/>
        <w:rPr>
          <w:rFonts w:ascii="宋体" w:hAnsi="宋体" w:cs="宋体"/>
          <w:sz w:val="24"/>
        </w:rPr>
      </w:pPr>
      <w:r>
        <w:rPr>
          <w:rFonts w:hint="eastAsia" w:ascii="宋体" w:hAnsi="宋体" w:cs="宋体"/>
          <w:sz w:val="24"/>
        </w:rPr>
        <w:t>编号：</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（投标人名称）：</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（工程名称）施工招标的评标委员会，对你方的投标文件进行了仔细的审查，现需你方对下列问题以书面形式予以澄清：</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xml:space="preserve">    1.</w:t>
      </w:r>
    </w:p>
    <w:p>
      <w:pPr>
        <w:spacing w:line="440" w:lineRule="exact"/>
        <w:rPr>
          <w:rFonts w:ascii="宋体" w:hAnsi="宋体" w:cs="宋体"/>
          <w:sz w:val="24"/>
        </w:rPr>
      </w:pPr>
      <w:r>
        <w:rPr>
          <w:rFonts w:hint="eastAsia" w:ascii="宋体" w:hAnsi="宋体" w:cs="宋体"/>
          <w:sz w:val="24"/>
        </w:rPr>
        <w:t xml:space="preserve">    2.</w:t>
      </w:r>
    </w:p>
    <w:p>
      <w:pPr>
        <w:spacing w:line="440" w:lineRule="exact"/>
        <w:rPr>
          <w:rFonts w:ascii="宋体" w:hAnsi="宋体" w:cs="宋体"/>
          <w:sz w:val="24"/>
        </w:rPr>
      </w:pPr>
      <w:r>
        <w:rPr>
          <w:rFonts w:hint="eastAsia" w:ascii="宋体" w:hAnsi="宋体" w:cs="宋体"/>
          <w:sz w:val="24"/>
        </w:rPr>
        <w:t xml:space="preserve">     ......   </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请将上述问题的澄清于年月日时前递交至（详细地址）或传真至（传真号码）。采用传真方式的，应在年月日时前将原件递交至（详细地址）。</w:t>
      </w: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评标委员会负责人：（签字）</w:t>
      </w:r>
    </w:p>
    <w:p>
      <w:pPr>
        <w:spacing w:line="440" w:lineRule="exact"/>
        <w:rPr>
          <w:rFonts w:ascii="宋体" w:hAnsi="宋体" w:cs="宋体"/>
          <w:sz w:val="24"/>
        </w:rPr>
      </w:pPr>
    </w:p>
    <w:p>
      <w:pPr>
        <w:spacing w:line="440" w:lineRule="exact"/>
        <w:rPr>
          <w:szCs w:val="21"/>
        </w:rPr>
      </w:pPr>
      <w:r>
        <w:rPr>
          <w:rFonts w:hint="eastAsia" w:ascii="宋体" w:hAnsi="宋体" w:cs="宋体"/>
          <w:sz w:val="24"/>
        </w:rPr>
        <w:t xml:space="preserve"> 年 月 日</w:t>
      </w:r>
    </w:p>
    <w:p>
      <w:pPr>
        <w:spacing w:line="400" w:lineRule="exact"/>
      </w:pPr>
    </w:p>
    <w:p>
      <w:pPr>
        <w:spacing w:line="400" w:lineRule="exact"/>
        <w:rPr>
          <w:sz w:val="24"/>
        </w:rPr>
      </w:pPr>
      <w:r>
        <w:br w:type="page"/>
      </w:r>
      <w:bookmarkStart w:id="75" w:name="_Toc359208475"/>
      <w:bookmarkStart w:id="76" w:name="_Toc152045583"/>
      <w:bookmarkStart w:id="77" w:name="_Toc144974550"/>
      <w:bookmarkStart w:id="78" w:name="_Toc152042360"/>
      <w:r>
        <w:rPr>
          <w:rFonts w:hint="eastAsia"/>
          <w:b/>
          <w:bCs/>
          <w:sz w:val="24"/>
        </w:rPr>
        <w:t>附表二：问题的澄清</w:t>
      </w:r>
      <w:bookmarkEnd w:id="75"/>
      <w:bookmarkEnd w:id="76"/>
      <w:bookmarkEnd w:id="77"/>
      <w:bookmarkEnd w:id="78"/>
    </w:p>
    <w:p>
      <w:pPr>
        <w:spacing w:line="400" w:lineRule="exact"/>
        <w:jc w:val="center"/>
        <w:rPr>
          <w:rFonts w:ascii="黑体" w:eastAsia="黑体"/>
          <w:sz w:val="28"/>
          <w:szCs w:val="28"/>
        </w:rPr>
      </w:pPr>
    </w:p>
    <w:p>
      <w:pPr>
        <w:spacing w:line="400" w:lineRule="exact"/>
        <w:jc w:val="center"/>
        <w:rPr>
          <w:rFonts w:ascii="黑体" w:eastAsia="黑体"/>
          <w:sz w:val="28"/>
          <w:szCs w:val="28"/>
        </w:rPr>
      </w:pPr>
      <w:r>
        <w:rPr>
          <w:rFonts w:hint="eastAsia" w:ascii="黑体" w:eastAsia="黑体"/>
          <w:sz w:val="28"/>
          <w:szCs w:val="28"/>
        </w:rPr>
        <w:t>问题的澄清</w:t>
      </w:r>
    </w:p>
    <w:p>
      <w:pPr>
        <w:spacing w:line="400" w:lineRule="exact"/>
        <w:rPr>
          <w:rFonts w:ascii="宋体" w:hAnsi="宋体" w:cs="宋体"/>
          <w:sz w:val="24"/>
        </w:rPr>
      </w:pPr>
      <w:r>
        <w:rPr>
          <w:rFonts w:hint="eastAsia" w:ascii="宋体" w:hAnsi="宋体" w:cs="宋体"/>
          <w:sz w:val="24"/>
        </w:rPr>
        <w:t xml:space="preserve">编号： </w:t>
      </w:r>
    </w:p>
    <w:p>
      <w:pPr>
        <w:spacing w:line="400" w:lineRule="exact"/>
        <w:rPr>
          <w:rFonts w:ascii="宋体" w:hAnsi="宋体" w:cs="宋体"/>
          <w:sz w:val="24"/>
        </w:rPr>
      </w:pPr>
    </w:p>
    <w:p>
      <w:pPr>
        <w:spacing w:line="44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工程名称）施工招标评标委员会：</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问题澄清通知（编号：）已收悉，现澄清如下：</w:t>
      </w:r>
    </w:p>
    <w:p>
      <w:pPr>
        <w:spacing w:line="440" w:lineRule="exact"/>
        <w:rPr>
          <w:rFonts w:ascii="宋体" w:hAnsi="宋体" w:cs="宋体"/>
          <w:sz w:val="24"/>
        </w:rPr>
      </w:pPr>
      <w:r>
        <w:rPr>
          <w:rFonts w:hint="eastAsia" w:ascii="宋体" w:hAnsi="宋体" w:cs="宋体"/>
          <w:sz w:val="24"/>
        </w:rPr>
        <w:t>　     1.</w:t>
      </w:r>
    </w:p>
    <w:p>
      <w:pPr>
        <w:spacing w:line="440" w:lineRule="exact"/>
        <w:rPr>
          <w:rFonts w:ascii="宋体" w:hAnsi="宋体" w:cs="宋体"/>
          <w:sz w:val="24"/>
        </w:rPr>
      </w:pPr>
      <w:r>
        <w:rPr>
          <w:rFonts w:hint="eastAsia" w:ascii="宋体" w:hAnsi="宋体" w:cs="宋体"/>
          <w:sz w:val="24"/>
        </w:rPr>
        <w:t>　     2.</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w:t>
      </w: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投标人：（盖单位章）</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法定代表人或其委托代理人：（签字）</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年月日</w:t>
      </w:r>
    </w:p>
    <w:p>
      <w:pPr>
        <w:spacing w:line="400" w:lineRule="exact"/>
        <w:rPr>
          <w:rFonts w:ascii="宋体" w:hAnsi="宋体" w:cs="宋体"/>
          <w:sz w:val="24"/>
        </w:rPr>
      </w:pPr>
    </w:p>
    <w:p>
      <w:pPr>
        <w:spacing w:line="400" w:lineRule="exact"/>
        <w:rPr>
          <w:rFonts w:ascii="黑体" w:hAnsi="黑体" w:eastAsia="黑体"/>
          <w:b/>
          <w:bCs/>
          <w:sz w:val="32"/>
        </w:rPr>
      </w:pPr>
      <w:r>
        <w:br w:type="page"/>
      </w:r>
      <w:bookmarkStart w:id="79" w:name="_Toc359208479"/>
      <w:bookmarkStart w:id="80" w:name="_Toc152042364"/>
      <w:bookmarkStart w:id="81" w:name="_Toc152045587"/>
      <w:bookmarkStart w:id="82" w:name="_Toc144974554"/>
    </w:p>
    <w:p>
      <w:pPr>
        <w:spacing w:before="120" w:after="120" w:line="400" w:lineRule="exact"/>
        <w:jc w:val="center"/>
        <w:rPr>
          <w:rFonts w:ascii="黑体" w:hAnsi="黑体" w:eastAsia="黑体"/>
          <w:b/>
          <w:bCs/>
          <w:sz w:val="32"/>
        </w:rPr>
      </w:pPr>
      <w:r>
        <w:rPr>
          <w:rFonts w:hint="eastAsia" w:ascii="黑体" w:hAnsi="黑体" w:eastAsia="黑体"/>
          <w:b/>
          <w:bCs/>
          <w:sz w:val="32"/>
        </w:rPr>
        <w:t>第三章 评标办法（经评审的最低价法）</w:t>
      </w:r>
      <w:bookmarkEnd w:id="79"/>
      <w:bookmarkEnd w:id="80"/>
      <w:bookmarkEnd w:id="81"/>
      <w:bookmarkEnd w:id="82"/>
    </w:p>
    <w:p>
      <w:pPr>
        <w:spacing w:line="240" w:lineRule="exact"/>
      </w:pPr>
    </w:p>
    <w:p>
      <w:pPr>
        <w:pStyle w:val="387"/>
      </w:pPr>
      <w:r>
        <w:rPr>
          <w:rFonts w:hint="eastAsia"/>
        </w:rPr>
        <w:t>评标办法前附表</w:t>
      </w:r>
    </w:p>
    <w:p>
      <w:pPr>
        <w:spacing w:line="240" w:lineRule="atLeast"/>
      </w:pPr>
    </w:p>
    <w:tbl>
      <w:tblPr>
        <w:tblStyle w:val="92"/>
        <w:tblW w:w="95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1194"/>
        <w:gridCol w:w="2880"/>
        <w:gridCol w:w="47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908" w:type="dxa"/>
            <w:gridSpan w:val="2"/>
            <w:tcBorders>
              <w:top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条款号</w:t>
            </w:r>
          </w:p>
        </w:tc>
        <w:tc>
          <w:tcPr>
            <w:tcW w:w="288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评审因素</w:t>
            </w:r>
          </w:p>
        </w:tc>
        <w:tc>
          <w:tcPr>
            <w:tcW w:w="4782"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2.1.1</w:t>
            </w:r>
          </w:p>
        </w:tc>
        <w:tc>
          <w:tcPr>
            <w:tcW w:w="119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形式评</w:t>
            </w:r>
          </w:p>
          <w:p>
            <w:pPr>
              <w:spacing w:line="360" w:lineRule="exact"/>
              <w:jc w:val="center"/>
              <w:rPr>
                <w:sz w:val="24"/>
              </w:rPr>
            </w:pPr>
            <w:r>
              <w:rPr>
                <w:sz w:val="24"/>
              </w:rPr>
              <w:t>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投标人名称</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r>
              <w:rPr>
                <w:sz w:val="24"/>
              </w:rPr>
              <w:t>与营业执照、资质证书</w:t>
            </w:r>
            <w:r>
              <w:rPr>
                <w:rFonts w:hint="eastAsia"/>
                <w:sz w:val="24"/>
              </w:rPr>
              <w:t>等证件的单位名称</w:t>
            </w:r>
            <w:r>
              <w:rPr>
                <w:sz w:val="24"/>
              </w:rPr>
              <w:t>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w:t>
            </w:r>
            <w:r>
              <w:rPr>
                <w:rFonts w:hint="eastAsia"/>
                <w:sz w:val="24"/>
              </w:rPr>
              <w:t>文件</w:t>
            </w:r>
            <w:r>
              <w:rPr>
                <w:sz w:val="24"/>
              </w:rPr>
              <w:t>签字盖章</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符合第二章“投标人须知”第</w:t>
            </w:r>
            <w:r>
              <w:rPr>
                <w:rFonts w:hint="eastAsia" w:ascii="宋体" w:hAnsi="宋体"/>
                <w:sz w:val="24"/>
              </w:rPr>
              <w:t>3</w:t>
            </w:r>
            <w:r>
              <w:rPr>
                <w:rFonts w:ascii="宋体" w:hAnsi="宋体"/>
                <w:sz w:val="24"/>
              </w:rPr>
              <w:t>.</w:t>
            </w:r>
            <w:r>
              <w:rPr>
                <w:rFonts w:hint="eastAsia" w:ascii="宋体" w:hAnsi="宋体"/>
                <w:sz w:val="24"/>
              </w:rPr>
              <w:t>7</w:t>
            </w:r>
            <w:r>
              <w:rPr>
                <w:rFonts w:ascii="宋体" w:hAnsi="宋体"/>
                <w:sz w:val="24"/>
              </w:rPr>
              <w:t>.</w:t>
            </w:r>
            <w:r>
              <w:rPr>
                <w:rFonts w:hint="eastAsia" w:ascii="宋体" w:hAnsi="宋体"/>
                <w:sz w:val="24"/>
              </w:rPr>
              <w:t>3</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投标文件格式</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w:t>
            </w:r>
            <w:r>
              <w:rPr>
                <w:rFonts w:hint="eastAsia" w:ascii="宋体" w:hAnsi="宋体"/>
                <w:sz w:val="24"/>
              </w:rPr>
              <w:t>第七章“</w:t>
            </w:r>
            <w:r>
              <w:rPr>
                <w:rFonts w:ascii="宋体" w:hAnsi="宋体"/>
                <w:sz w:val="24"/>
              </w:rPr>
              <w:t>投标文件格式</w:t>
            </w:r>
            <w:r>
              <w:rPr>
                <w:rFonts w:hint="eastAsia" w:ascii="宋体" w:hAnsi="宋体"/>
                <w:sz w:val="24"/>
              </w:rPr>
              <w:t>”</w:t>
            </w:r>
            <w:r>
              <w:rPr>
                <w:rFonts w:ascii="宋体" w:hAnsi="宋体"/>
                <w:sz w:val="24"/>
              </w:rPr>
              <w:t>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报价唯一</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r>
              <w:rPr>
                <w:sz w:val="24"/>
              </w:rPr>
              <w:t>只能有一个有效报价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right w:val="single" w:color="auto" w:sz="4" w:space="0"/>
            </w:tcBorders>
            <w:vAlign w:val="center"/>
          </w:tcPr>
          <w:p>
            <w:pPr>
              <w:spacing w:line="360" w:lineRule="exact"/>
              <w:jc w:val="center"/>
              <w:rPr>
                <w:sz w:val="24"/>
              </w:rPr>
            </w:pPr>
            <w:r>
              <w:rPr>
                <w:sz w:val="24"/>
              </w:rPr>
              <w:t>2.1.2</w:t>
            </w:r>
          </w:p>
        </w:tc>
        <w:tc>
          <w:tcPr>
            <w:tcW w:w="1194" w:type="dxa"/>
            <w:vMerge w:val="restart"/>
            <w:tcBorders>
              <w:top w:val="single" w:color="auto" w:sz="4" w:space="0"/>
              <w:right w:val="single" w:color="auto" w:sz="4" w:space="0"/>
            </w:tcBorders>
            <w:vAlign w:val="center"/>
          </w:tcPr>
          <w:p>
            <w:pPr>
              <w:spacing w:line="440" w:lineRule="exact"/>
              <w:jc w:val="center"/>
              <w:rPr>
                <w:sz w:val="24"/>
              </w:rPr>
            </w:pPr>
            <w:r>
              <w:rPr>
                <w:sz w:val="24"/>
              </w:rPr>
              <w:t>资格评审标准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营业执照</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tcPr>
          <w:p>
            <w:pPr>
              <w:spacing w:line="360" w:lineRule="exact"/>
              <w:jc w:val="center"/>
              <w:rPr>
                <w:sz w:val="24"/>
              </w:rPr>
            </w:pPr>
            <w:r>
              <w:rPr>
                <w:sz w:val="24"/>
              </w:rPr>
              <w:t>资质等级</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安全生产许可证</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诚信手册、进粤登记</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项目</w:t>
            </w:r>
            <w:r>
              <w:rPr>
                <w:rFonts w:hint="eastAsia"/>
                <w:sz w:val="24"/>
              </w:rPr>
              <w:t>负责人及专职安全人员</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信誉</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2.1.3</w:t>
            </w:r>
          </w:p>
        </w:tc>
        <w:tc>
          <w:tcPr>
            <w:tcW w:w="119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响应性</w:t>
            </w:r>
          </w:p>
          <w:p>
            <w:pPr>
              <w:spacing w:line="360" w:lineRule="exact"/>
              <w:jc w:val="center"/>
              <w:rPr>
                <w:sz w:val="24"/>
              </w:rPr>
            </w:pPr>
            <w:r>
              <w:rPr>
                <w:sz w:val="24"/>
              </w:rPr>
              <w:t>评审标准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w:t>
            </w:r>
            <w:r>
              <w:rPr>
                <w:rFonts w:hint="eastAsia"/>
                <w:sz w:val="24"/>
              </w:rPr>
              <w:t>范围</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1.3.1</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工期</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1.3.2</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工程质量</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1.3.4</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投标有效期</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3.3.1</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投标价格</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符合第二章“</w:t>
            </w:r>
            <w:r>
              <w:rPr>
                <w:rFonts w:ascii="宋体" w:hAnsi="宋体"/>
                <w:sz w:val="24"/>
              </w:rPr>
              <w:t>投标人须知</w:t>
            </w:r>
            <w:r>
              <w:rPr>
                <w:rFonts w:hint="eastAsia" w:ascii="宋体" w:hAnsi="宋体"/>
                <w:sz w:val="24"/>
              </w:rPr>
              <w:t>”第3.2项规定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6" w:hRule="atLeast"/>
        </w:trPr>
        <w:tc>
          <w:tcPr>
            <w:tcW w:w="714" w:type="dxa"/>
            <w:vMerge w:val="restart"/>
            <w:tcBorders>
              <w:top w:val="single" w:color="auto" w:sz="4" w:space="0"/>
              <w:right w:val="single" w:color="auto" w:sz="4" w:space="0"/>
            </w:tcBorders>
            <w:vAlign w:val="center"/>
          </w:tcPr>
          <w:p>
            <w:pPr>
              <w:spacing w:line="360" w:lineRule="exact"/>
              <w:jc w:val="center"/>
              <w:rPr>
                <w:sz w:val="24"/>
              </w:rPr>
            </w:pPr>
            <w:r>
              <w:rPr>
                <w:rFonts w:hint="eastAsia"/>
                <w:sz w:val="24"/>
              </w:rPr>
              <w:t>2.2</w:t>
            </w:r>
          </w:p>
        </w:tc>
        <w:tc>
          <w:tcPr>
            <w:tcW w:w="1194" w:type="dxa"/>
            <w:vMerge w:val="restart"/>
            <w:tcBorders>
              <w:top w:val="single" w:color="auto" w:sz="4" w:space="0"/>
              <w:right w:val="single" w:color="auto" w:sz="4" w:space="0"/>
            </w:tcBorders>
            <w:vAlign w:val="center"/>
          </w:tcPr>
          <w:p>
            <w:pPr>
              <w:spacing w:line="360" w:lineRule="exact"/>
              <w:jc w:val="center"/>
              <w:rPr>
                <w:sz w:val="24"/>
              </w:rPr>
            </w:pPr>
            <w:r>
              <w:rPr>
                <w:sz w:val="24"/>
              </w:rPr>
              <w:t>详细评审标准</w:t>
            </w:r>
          </w:p>
        </w:tc>
        <w:tc>
          <w:tcPr>
            <w:tcW w:w="2880" w:type="dxa"/>
            <w:vMerge w:val="restart"/>
            <w:tcBorders>
              <w:top w:val="single" w:color="auto" w:sz="4" w:space="0"/>
              <w:left w:val="single" w:color="auto" w:sz="4" w:space="0"/>
              <w:right w:val="single" w:color="auto" w:sz="4" w:space="0"/>
            </w:tcBorders>
            <w:vAlign w:val="center"/>
          </w:tcPr>
          <w:p>
            <w:pPr>
              <w:spacing w:line="360" w:lineRule="exact"/>
              <w:jc w:val="center"/>
              <w:rPr>
                <w:sz w:val="24"/>
              </w:rPr>
            </w:pPr>
          </w:p>
          <w:p>
            <w:pPr>
              <w:spacing w:line="360" w:lineRule="exact"/>
              <w:jc w:val="center"/>
              <w:rPr>
                <w:sz w:val="24"/>
              </w:rPr>
            </w:pPr>
            <w:r>
              <w:rPr>
                <w:rFonts w:hint="eastAsia"/>
                <w:sz w:val="24"/>
              </w:rPr>
              <w:t>中标候选人的确定</w:t>
            </w:r>
          </w:p>
        </w:tc>
        <w:tc>
          <w:tcPr>
            <w:tcW w:w="4782" w:type="dxa"/>
            <w:tcBorders>
              <w:top w:val="single" w:color="auto" w:sz="4" w:space="0"/>
              <w:left w:val="single" w:color="auto" w:sz="4" w:space="0"/>
              <w:right w:val="single" w:color="auto" w:sz="4" w:space="0"/>
            </w:tcBorders>
            <w:vAlign w:val="center"/>
          </w:tcPr>
          <w:p>
            <w:pPr>
              <w:spacing w:line="320" w:lineRule="exact"/>
              <w:rPr>
                <w:sz w:val="24"/>
              </w:rPr>
            </w:pPr>
            <w:r>
              <w:rPr>
                <w:rFonts w:hint="eastAsia"/>
                <w:sz w:val="24"/>
              </w:rPr>
              <w:t>将所有有效的投标报价按照由低到高的顺序进行排序，取投标报价最低的投标人为中标候选人。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bottom w:val="single" w:color="auto" w:sz="4" w:space="0"/>
              <w:right w:val="single" w:color="auto" w:sz="4" w:space="0"/>
            </w:tcBorders>
            <w:vAlign w:val="center"/>
          </w:tcPr>
          <w:p>
            <w:pPr>
              <w:spacing w:line="440" w:lineRule="exact"/>
              <w:jc w:val="center"/>
              <w:rPr>
                <w:sz w:val="24"/>
              </w:rPr>
            </w:pPr>
          </w:p>
        </w:tc>
        <w:tc>
          <w:tcPr>
            <w:tcW w:w="1194" w:type="dxa"/>
            <w:vMerge w:val="continue"/>
            <w:tcBorders>
              <w:bottom w:val="single" w:color="auto" w:sz="4" w:space="0"/>
              <w:right w:val="single" w:color="auto" w:sz="4" w:space="0"/>
            </w:tcBorders>
            <w:vAlign w:val="center"/>
          </w:tcPr>
          <w:p>
            <w:pPr>
              <w:spacing w:line="440" w:lineRule="exact"/>
              <w:jc w:val="center"/>
              <w:rPr>
                <w:sz w:val="24"/>
              </w:rPr>
            </w:pPr>
          </w:p>
        </w:tc>
        <w:tc>
          <w:tcPr>
            <w:tcW w:w="2880" w:type="dxa"/>
            <w:vMerge w:val="continue"/>
            <w:tcBorders>
              <w:left w:val="single" w:color="auto" w:sz="4" w:space="0"/>
              <w:right w:val="single" w:color="auto" w:sz="4" w:space="0"/>
            </w:tcBorders>
            <w:vAlign w:val="center"/>
          </w:tcPr>
          <w:p>
            <w:pPr>
              <w:spacing w:line="360" w:lineRule="exact"/>
              <w:jc w:val="center"/>
              <w:rPr>
                <w:sz w:val="24"/>
              </w:rPr>
            </w:pPr>
          </w:p>
        </w:tc>
        <w:tc>
          <w:tcPr>
            <w:tcW w:w="4782"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rPr>
            </w:pPr>
            <w:r>
              <w:rPr>
                <w:rFonts w:hint="eastAsia" w:ascii="宋体" w:hAnsi="宋体"/>
                <w:sz w:val="24"/>
              </w:rPr>
              <w:t>若出现两个或两个以上的</w:t>
            </w:r>
            <w:r>
              <w:rPr>
                <w:rFonts w:hint="eastAsia"/>
                <w:sz w:val="24"/>
              </w:rPr>
              <w:t>投标报价</w:t>
            </w:r>
            <w:r>
              <w:rPr>
                <w:rFonts w:hint="eastAsia" w:ascii="宋体" w:hAnsi="宋体"/>
                <w:sz w:val="24"/>
              </w:rPr>
              <w:t>相同的中标候选人时，则采用随机抽取的办法确定中标候选人排序。</w:t>
            </w:r>
          </w:p>
          <w:p>
            <w:pPr>
              <w:spacing w:line="320" w:lineRule="exact"/>
              <w:rPr>
                <w:sz w:val="24"/>
              </w:rPr>
            </w:pPr>
            <w:r>
              <w:rPr>
                <w:rFonts w:hint="eastAsia" w:ascii="宋体" w:hAnsi="宋体"/>
                <w:sz w:val="24"/>
              </w:rPr>
              <w:t>随机抽取办法：在招标人、招标代理机构、交易中心及监督单位的共同监督下，按报名登记顺序号（以开标记录为准）为投标人的对应号码球编号，将</w:t>
            </w:r>
            <w:r>
              <w:rPr>
                <w:rFonts w:hint="eastAsia"/>
                <w:sz w:val="24"/>
              </w:rPr>
              <w:t>投标报价</w:t>
            </w:r>
            <w:r>
              <w:rPr>
                <w:rFonts w:hint="eastAsia" w:ascii="宋体" w:hAnsi="宋体"/>
                <w:sz w:val="24"/>
              </w:rPr>
              <w:t>均相同的投标人的号码球放进摇珠机，按率先抽中为先的原则，由招标人随机抽取号码球对应的投标人进行中标候选人排序。</w:t>
            </w:r>
          </w:p>
        </w:tc>
      </w:tr>
    </w:tbl>
    <w:p>
      <w:pPr>
        <w:spacing w:line="400" w:lineRule="exact"/>
      </w:pPr>
    </w:p>
    <w:p>
      <w:pPr>
        <w:spacing w:line="400" w:lineRule="exact"/>
        <w:rPr>
          <w:rFonts w:ascii="黑体" w:hAnsi="黑体" w:eastAsia="黑体"/>
          <w:sz w:val="28"/>
          <w:szCs w:val="28"/>
        </w:rPr>
      </w:pPr>
    </w:p>
    <w:p>
      <w:pPr>
        <w:spacing w:line="400" w:lineRule="exact"/>
        <w:rPr>
          <w:rFonts w:ascii="黑体" w:hAnsi="黑体" w:eastAsia="黑体"/>
          <w:sz w:val="28"/>
          <w:szCs w:val="28"/>
        </w:rPr>
      </w:pPr>
      <w:r>
        <w:rPr>
          <w:rFonts w:hint="eastAsia" w:ascii="黑体" w:hAnsi="黑体" w:eastAsia="黑体"/>
          <w:sz w:val="28"/>
          <w:szCs w:val="28"/>
        </w:rPr>
        <w:t>评标办法正文部分</w:t>
      </w:r>
    </w:p>
    <w:p>
      <w:pPr>
        <w:pStyle w:val="387"/>
        <w:spacing w:before="0"/>
      </w:pPr>
    </w:p>
    <w:p>
      <w:pPr>
        <w:pStyle w:val="387"/>
        <w:spacing w:before="0"/>
      </w:pPr>
      <w:r>
        <w:rPr>
          <w:rFonts w:hint="eastAsia"/>
        </w:rPr>
        <w:t>1. 评标方法</w:t>
      </w:r>
    </w:p>
    <w:p>
      <w:pPr>
        <w:spacing w:line="400" w:lineRule="exact"/>
        <w:ind w:firstLine="480" w:firstLineChars="200"/>
        <w:rPr>
          <w:sz w:val="24"/>
        </w:rPr>
      </w:pPr>
      <w:r>
        <w:rPr>
          <w:rFonts w:hint="eastAsia"/>
          <w:sz w:val="24"/>
        </w:rPr>
        <w:t>本次评标采用经评审的最低价法。评标委员会对满足招标文件实质要求的投标文件，按照经评审的投标报价由低到高的顺序推荐中标候选人，但投标报价低于其成本的除外。经评审的投标报价相等时，招标人将采用随机抽取的办法确定中标候选人顺序。</w:t>
      </w:r>
    </w:p>
    <w:p>
      <w:pPr>
        <w:pStyle w:val="387"/>
        <w:spacing w:before="0"/>
      </w:pPr>
    </w:p>
    <w:p>
      <w:pPr>
        <w:pStyle w:val="387"/>
        <w:spacing w:before="0"/>
      </w:pPr>
      <w:r>
        <w:rPr>
          <w:rFonts w:hint="eastAsia"/>
        </w:rPr>
        <w:t>2. 评审标准</w:t>
      </w:r>
    </w:p>
    <w:p>
      <w:pPr>
        <w:pStyle w:val="384"/>
        <w:rPr>
          <w:rFonts w:ascii="黑体" w:hAnsi="黑体"/>
        </w:rPr>
      </w:pPr>
      <w:r>
        <w:rPr>
          <w:rFonts w:hint="eastAsia" w:ascii="黑体" w:hAnsi="黑体"/>
        </w:rPr>
        <w:t>2.1 初步评审标准</w:t>
      </w:r>
    </w:p>
    <w:p>
      <w:pPr>
        <w:spacing w:line="400" w:lineRule="exact"/>
        <w:rPr>
          <w:rFonts w:ascii="宋体" w:hAnsi="宋体"/>
          <w:sz w:val="24"/>
        </w:rPr>
      </w:pPr>
      <w:r>
        <w:rPr>
          <w:rFonts w:hint="eastAsia" w:ascii="宋体" w:hAnsi="宋体"/>
          <w:sz w:val="24"/>
        </w:rPr>
        <w:t>2.1.1 形式评审标准：见评标办法前附表。</w:t>
      </w:r>
    </w:p>
    <w:p>
      <w:pPr>
        <w:spacing w:line="400" w:lineRule="exact"/>
        <w:rPr>
          <w:rFonts w:ascii="宋体" w:hAnsi="宋体"/>
          <w:sz w:val="24"/>
        </w:rPr>
      </w:pPr>
      <w:r>
        <w:rPr>
          <w:rFonts w:hint="eastAsia" w:ascii="宋体" w:hAnsi="宋体"/>
          <w:sz w:val="24"/>
        </w:rPr>
        <w:t>2.1.2 资格评审标准：见评标办法前附表。</w:t>
      </w:r>
    </w:p>
    <w:p>
      <w:pPr>
        <w:spacing w:line="400" w:lineRule="exact"/>
        <w:rPr>
          <w:rFonts w:ascii="宋体" w:hAnsi="宋体"/>
          <w:sz w:val="24"/>
        </w:rPr>
      </w:pPr>
      <w:r>
        <w:rPr>
          <w:rFonts w:hint="eastAsia" w:ascii="宋体" w:hAnsi="宋体"/>
          <w:sz w:val="24"/>
        </w:rPr>
        <w:t>2.1.3 响应性评审标准：见评标办法前附表。</w:t>
      </w:r>
    </w:p>
    <w:p>
      <w:pPr>
        <w:pStyle w:val="384"/>
      </w:pPr>
    </w:p>
    <w:p>
      <w:pPr>
        <w:pStyle w:val="384"/>
        <w:rPr>
          <w:rFonts w:ascii="黑体" w:hAnsi="黑体"/>
        </w:rPr>
      </w:pPr>
      <w:r>
        <w:rPr>
          <w:rFonts w:hint="eastAsia" w:ascii="黑体" w:hAnsi="黑体"/>
        </w:rPr>
        <w:t>2.2 详细评审标准</w:t>
      </w:r>
    </w:p>
    <w:p>
      <w:pPr>
        <w:spacing w:line="400" w:lineRule="exact"/>
        <w:ind w:firstLine="480" w:firstLineChars="200"/>
        <w:rPr>
          <w:sz w:val="24"/>
        </w:rPr>
      </w:pPr>
      <w:r>
        <w:rPr>
          <w:rFonts w:hint="eastAsia"/>
          <w:sz w:val="24"/>
        </w:rPr>
        <w:t>详细评审标准：见评标办法前附表。</w:t>
      </w:r>
    </w:p>
    <w:p>
      <w:pPr>
        <w:pStyle w:val="387"/>
        <w:spacing w:before="0"/>
        <w:rPr>
          <w:rFonts w:ascii="黑体" w:hAnsi="黑体"/>
        </w:rPr>
      </w:pPr>
    </w:p>
    <w:p>
      <w:pPr>
        <w:pStyle w:val="387"/>
        <w:spacing w:before="0"/>
        <w:rPr>
          <w:rFonts w:ascii="黑体" w:hAnsi="黑体"/>
        </w:rPr>
      </w:pPr>
      <w:r>
        <w:rPr>
          <w:rFonts w:hint="eastAsia" w:ascii="黑体" w:hAnsi="黑体"/>
        </w:rPr>
        <w:t>3. 评标程序</w:t>
      </w:r>
    </w:p>
    <w:p>
      <w:pPr>
        <w:spacing w:line="400" w:lineRule="exact"/>
        <w:outlineLvl w:val="0"/>
        <w:rPr>
          <w:rFonts w:ascii="黑体" w:hAnsi="黑体" w:eastAsia="黑体"/>
          <w:sz w:val="24"/>
        </w:rPr>
      </w:pPr>
      <w:r>
        <w:rPr>
          <w:rFonts w:hint="eastAsia" w:ascii="黑体" w:hAnsi="黑体" w:eastAsia="黑体"/>
          <w:sz w:val="24"/>
        </w:rPr>
        <w:t>3.1 基本程序</w:t>
      </w:r>
    </w:p>
    <w:p>
      <w:pPr>
        <w:spacing w:line="400" w:lineRule="exact"/>
        <w:ind w:firstLine="480" w:firstLineChars="200"/>
        <w:rPr>
          <w:rFonts w:ascii="宋体" w:hAnsi="宋体"/>
          <w:sz w:val="24"/>
        </w:rPr>
      </w:pPr>
      <w:r>
        <w:rPr>
          <w:rFonts w:hint="eastAsia" w:ascii="宋体" w:hAnsi="宋体"/>
          <w:sz w:val="24"/>
        </w:rPr>
        <w:t>评标活动将按以下五个步骤进行：</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）评标准备；</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）初步评审：</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）详细评审；</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）澄清、说明或补正；</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）推荐中标候选人及提交评标报告。</w:t>
      </w:r>
    </w:p>
    <w:p>
      <w:pPr>
        <w:spacing w:line="400" w:lineRule="exact"/>
        <w:rPr>
          <w:rFonts w:ascii="黑体" w:hAnsi="黑体" w:eastAsia="黑体"/>
          <w:sz w:val="24"/>
        </w:rPr>
      </w:pPr>
    </w:p>
    <w:p>
      <w:pPr>
        <w:spacing w:line="400" w:lineRule="exact"/>
        <w:rPr>
          <w:rFonts w:ascii="黑体" w:hAnsi="黑体" w:eastAsia="黑体"/>
          <w:sz w:val="24"/>
        </w:rPr>
      </w:pPr>
      <w:r>
        <w:rPr>
          <w:rFonts w:hint="eastAsia" w:ascii="黑体" w:hAnsi="黑体" w:eastAsia="黑体"/>
          <w:sz w:val="24"/>
        </w:rPr>
        <w:t>3.2 评标准备</w:t>
      </w:r>
    </w:p>
    <w:p>
      <w:pPr>
        <w:spacing w:line="400" w:lineRule="exact"/>
        <w:outlineLvl w:val="0"/>
        <w:rPr>
          <w:rFonts w:ascii="宋体" w:hAnsi="宋体"/>
          <w:sz w:val="24"/>
        </w:rPr>
      </w:pPr>
      <w:r>
        <w:rPr>
          <w:rFonts w:hint="eastAsia" w:ascii="宋体" w:hAnsi="宋体"/>
          <w:sz w:val="24"/>
        </w:rPr>
        <w:t>3.2.1 评标委员会成员签到</w:t>
      </w:r>
    </w:p>
    <w:p>
      <w:pPr>
        <w:spacing w:line="400" w:lineRule="exact"/>
        <w:ind w:firstLine="720" w:firstLineChars="300"/>
        <w:rPr>
          <w:rFonts w:ascii="宋体" w:hAnsi="宋体"/>
          <w:sz w:val="24"/>
        </w:rPr>
      </w:pPr>
      <w:r>
        <w:rPr>
          <w:rFonts w:hint="eastAsia" w:ascii="宋体" w:hAnsi="宋体"/>
          <w:sz w:val="24"/>
        </w:rPr>
        <w:t>评标委员会成员到达评标现场时应在签到表上签到以证明其出席。</w:t>
      </w:r>
    </w:p>
    <w:p>
      <w:pPr>
        <w:spacing w:line="400" w:lineRule="exact"/>
        <w:outlineLvl w:val="0"/>
        <w:rPr>
          <w:rFonts w:ascii="宋体" w:hAnsi="宋体"/>
          <w:sz w:val="24"/>
        </w:rPr>
      </w:pPr>
      <w:r>
        <w:rPr>
          <w:rFonts w:hint="eastAsia" w:ascii="宋体" w:hAnsi="宋体"/>
          <w:sz w:val="24"/>
        </w:rPr>
        <w:t>3.2.2 评标委员会的分工</w:t>
      </w:r>
    </w:p>
    <w:p>
      <w:pPr>
        <w:spacing w:line="400" w:lineRule="exact"/>
        <w:ind w:left="718" w:leftChars="342"/>
        <w:rPr>
          <w:rFonts w:ascii="宋体" w:hAnsi="宋体"/>
          <w:sz w:val="24"/>
        </w:rPr>
      </w:pPr>
      <w:r>
        <w:rPr>
          <w:rFonts w:hint="eastAsia" w:ascii="宋体" w:hAnsi="宋体"/>
          <w:sz w:val="24"/>
        </w:rPr>
        <w:t>评标委员会首先推选一名评标委员会负责人。评标委员会负责人负责评标活动的组织领导工作。</w:t>
      </w:r>
    </w:p>
    <w:p>
      <w:pPr>
        <w:spacing w:line="400" w:lineRule="exact"/>
        <w:outlineLvl w:val="0"/>
        <w:rPr>
          <w:rFonts w:ascii="宋体" w:hAnsi="宋体"/>
          <w:sz w:val="24"/>
        </w:rPr>
      </w:pPr>
      <w:r>
        <w:rPr>
          <w:rFonts w:hint="eastAsia" w:ascii="宋体" w:hAnsi="宋体"/>
          <w:sz w:val="24"/>
        </w:rPr>
        <w:t>3.2.3 熟悉文件资料</w:t>
      </w:r>
    </w:p>
    <w:p>
      <w:pPr>
        <w:spacing w:line="400" w:lineRule="exact"/>
        <w:ind w:left="960" w:hanging="960" w:hangingChars="400"/>
        <w:rPr>
          <w:rFonts w:ascii="宋体" w:hAnsi="宋体"/>
          <w:sz w:val="24"/>
        </w:rPr>
      </w:pPr>
      <w:r>
        <w:rPr>
          <w:rFonts w:hint="eastAsia" w:ascii="宋体" w:hAnsi="宋体"/>
          <w:sz w:val="24"/>
        </w:rPr>
        <w:t>3.2.3.1 评标委员会负责人应组织评标委员会成员认真研究招标文件，了解和熟悉招标目的、招标范围、主要合同条件、技术标准和要求、质量标准和工期要求等，掌握评标标准和方法。未在招标文件中规定的标准和方法不得作为评标的依据。</w:t>
      </w:r>
    </w:p>
    <w:p>
      <w:pPr>
        <w:spacing w:line="400" w:lineRule="exact"/>
        <w:ind w:left="960" w:hanging="960" w:hangingChars="400"/>
        <w:rPr>
          <w:rFonts w:ascii="宋体" w:hAnsi="宋体"/>
          <w:sz w:val="24"/>
        </w:rPr>
      </w:pPr>
      <w:r>
        <w:rPr>
          <w:rFonts w:hint="eastAsia" w:ascii="宋体" w:hAnsi="宋体"/>
          <w:sz w:val="24"/>
        </w:rPr>
        <w:t>3.2.3.2招标人或招标代理机构应向评标委员会提供评标所需的信息和数据，包括招标文件、未在开标会上当场拒绝的各投标文件、开标会记录、招标控制价、工程所在地工程造价管理部门颁布的工程造价信息、定额（如作为计价依据时）、有关的政策文件、国家标准以及评标委员会认为必要的其他信息和数据。</w:t>
      </w:r>
      <w:r>
        <w:rPr>
          <w:rFonts w:hint="eastAsia"/>
          <w:sz w:val="24"/>
        </w:rPr>
        <w:t>但不得明示或者暗示其倾向或者排斥特定投标人。</w:t>
      </w:r>
    </w:p>
    <w:p>
      <w:pPr>
        <w:spacing w:line="400" w:lineRule="exact"/>
        <w:outlineLvl w:val="0"/>
        <w:rPr>
          <w:rFonts w:ascii="宋体" w:hAnsi="宋体"/>
          <w:sz w:val="24"/>
        </w:rPr>
      </w:pPr>
      <w:r>
        <w:rPr>
          <w:rFonts w:hint="eastAsia" w:ascii="宋体" w:hAnsi="宋体"/>
          <w:sz w:val="24"/>
        </w:rPr>
        <w:t>3.2.4 对投标文件进行基础性数据分析和整理工作（清标）</w:t>
      </w:r>
    </w:p>
    <w:p>
      <w:pPr>
        <w:spacing w:line="400" w:lineRule="exact"/>
        <w:ind w:left="960" w:hanging="960" w:hangingChars="400"/>
        <w:rPr>
          <w:rFonts w:ascii="宋体" w:hAnsi="宋体"/>
          <w:sz w:val="24"/>
        </w:rPr>
      </w:pPr>
      <w:r>
        <w:rPr>
          <w:rFonts w:hint="eastAsia" w:ascii="宋体" w:hAnsi="宋体"/>
          <w:sz w:val="24"/>
        </w:rPr>
        <w:t>3.2.4.1在不改变投标人投标文件实质性内容的前提下，评标委员会应当对投标文件进行基础性数据分析和整理（本章中简称为“清标”），从而发现并提取其中可能存在的对招标范围理解的偏差、投标报价的算术性错误、错漏项、投标报价构成不合理、不平衡报价等存在明显异常的问题，并就这些问题整理形成清标成果。评标委员会对清标成果审议后，决定需要投标人进行书面澄清、说明或补正的问题，形成质疑问卷，向投标人发出问题澄清通知（包括质疑问卷）。</w:t>
      </w:r>
    </w:p>
    <w:p>
      <w:pPr>
        <w:spacing w:line="400" w:lineRule="exact"/>
        <w:ind w:left="960" w:hanging="960" w:hangingChars="400"/>
        <w:rPr>
          <w:rFonts w:ascii="宋体" w:hAnsi="宋体"/>
          <w:sz w:val="24"/>
        </w:rPr>
      </w:pPr>
      <w:r>
        <w:rPr>
          <w:rFonts w:hint="eastAsia" w:ascii="宋体" w:hAnsi="宋体"/>
          <w:sz w:val="24"/>
        </w:rPr>
        <w:t>3.2.4.2 投标人接到评标委员会发出的问题澄清通知后，应按评标委员会的要求提供书面澄清资料并按要求进行密封，在规定的时间递交到指定地点。投标人递交的书面澄清资料由评标委员会开启。</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3.3 初步评审</w:t>
      </w:r>
    </w:p>
    <w:p>
      <w:pPr>
        <w:spacing w:line="400" w:lineRule="exact"/>
        <w:ind w:firstLine="470" w:firstLineChars="196"/>
        <w:outlineLvl w:val="0"/>
        <w:rPr>
          <w:rFonts w:ascii="宋体" w:hAnsi="宋体"/>
          <w:b/>
        </w:rPr>
      </w:pPr>
      <w:r>
        <w:rPr>
          <w:rFonts w:hint="eastAsia"/>
          <w:sz w:val="24"/>
        </w:rPr>
        <w:t>评标委员会依据本章第2.1款规定的标准对投标文件进行初步评审。有一项不符合评审标准的，评标委员会应当否决其投标。</w:t>
      </w:r>
    </w:p>
    <w:p>
      <w:pPr>
        <w:spacing w:line="400" w:lineRule="exact"/>
        <w:outlineLvl w:val="0"/>
        <w:rPr>
          <w:rFonts w:ascii="宋体" w:hAnsi="宋体"/>
          <w:sz w:val="24"/>
        </w:rPr>
      </w:pPr>
      <w:r>
        <w:rPr>
          <w:rFonts w:hint="eastAsia" w:ascii="宋体" w:hAnsi="宋体"/>
          <w:sz w:val="24"/>
        </w:rPr>
        <w:t>3.3.1形式评审</w:t>
      </w:r>
    </w:p>
    <w:p>
      <w:pPr>
        <w:spacing w:line="400" w:lineRule="exact"/>
        <w:ind w:left="718" w:leftChars="342"/>
        <w:rPr>
          <w:rFonts w:ascii="宋体" w:hAnsi="宋体"/>
          <w:sz w:val="24"/>
        </w:rPr>
      </w:pPr>
      <w:r>
        <w:rPr>
          <w:rFonts w:hint="eastAsia" w:ascii="宋体" w:hAnsi="宋体"/>
          <w:sz w:val="24"/>
        </w:rPr>
        <w:t>评标委员会根据评标办法前附表中规定的评审因素和评审标准，对投标人的投标文件进行形式评审。</w:t>
      </w:r>
    </w:p>
    <w:p>
      <w:pPr>
        <w:spacing w:line="400" w:lineRule="exact"/>
        <w:outlineLvl w:val="0"/>
        <w:rPr>
          <w:rFonts w:ascii="宋体" w:hAnsi="宋体"/>
          <w:sz w:val="24"/>
        </w:rPr>
      </w:pPr>
      <w:r>
        <w:rPr>
          <w:rFonts w:hint="eastAsia" w:ascii="宋体" w:hAnsi="宋体"/>
          <w:sz w:val="24"/>
        </w:rPr>
        <w:t>3.3.2 资格评审(本项目不适用)</w:t>
      </w:r>
    </w:p>
    <w:p>
      <w:pPr>
        <w:spacing w:line="400" w:lineRule="exact"/>
        <w:ind w:left="718" w:leftChars="342"/>
        <w:rPr>
          <w:rFonts w:ascii="宋体" w:hAnsi="宋体"/>
          <w:sz w:val="24"/>
        </w:rPr>
      </w:pPr>
      <w:r>
        <w:rPr>
          <w:rFonts w:hint="eastAsia" w:ascii="宋体" w:hAnsi="宋体"/>
          <w:sz w:val="24"/>
        </w:rPr>
        <w:t>评标委员会根据评标办法前附表中的规定的评审因素和评审标准，对投标人的投标文件进行资格评审。</w:t>
      </w:r>
    </w:p>
    <w:p>
      <w:pPr>
        <w:spacing w:line="400" w:lineRule="exact"/>
        <w:outlineLvl w:val="0"/>
        <w:rPr>
          <w:rFonts w:ascii="宋体" w:hAnsi="宋体"/>
          <w:sz w:val="24"/>
        </w:rPr>
      </w:pPr>
      <w:r>
        <w:rPr>
          <w:rFonts w:hint="eastAsia" w:ascii="宋体" w:hAnsi="宋体"/>
          <w:sz w:val="24"/>
        </w:rPr>
        <w:t>3.3.3 响应性评审</w:t>
      </w:r>
    </w:p>
    <w:p>
      <w:pPr>
        <w:spacing w:line="400" w:lineRule="exact"/>
        <w:ind w:left="960" w:hanging="960" w:hangingChars="400"/>
        <w:rPr>
          <w:rFonts w:ascii="宋体" w:hAnsi="宋体"/>
          <w:sz w:val="24"/>
        </w:rPr>
      </w:pPr>
      <w:r>
        <w:rPr>
          <w:rFonts w:hint="eastAsia" w:ascii="宋体" w:hAnsi="宋体"/>
          <w:sz w:val="24"/>
        </w:rPr>
        <w:t>3.3.</w:t>
      </w:r>
      <w:r>
        <w:rPr>
          <w:rFonts w:ascii="宋体" w:hAnsi="宋体"/>
          <w:sz w:val="24"/>
        </w:rPr>
        <w:t>3.1</w:t>
      </w:r>
      <w:r>
        <w:rPr>
          <w:rFonts w:hint="eastAsia" w:ascii="宋体" w:hAnsi="宋体"/>
          <w:sz w:val="24"/>
        </w:rPr>
        <w:t xml:space="preserve"> 评标委员会根据评标办法前附表中规定的评审因素和评审标准，对投标人的投标文件进行响应性评审。</w:t>
      </w:r>
    </w:p>
    <w:p>
      <w:pPr>
        <w:spacing w:line="400" w:lineRule="exact"/>
        <w:ind w:left="960" w:hanging="960" w:hangingChars="400"/>
      </w:pPr>
      <w:r>
        <w:rPr>
          <w:rFonts w:hint="eastAsia" w:ascii="宋体" w:hAnsi="宋体"/>
          <w:sz w:val="24"/>
        </w:rPr>
        <w:t>3.</w:t>
      </w:r>
      <w:r>
        <w:rPr>
          <w:rFonts w:ascii="宋体" w:hAnsi="宋体"/>
          <w:sz w:val="24"/>
        </w:rPr>
        <w:t>3.3.2</w:t>
      </w:r>
      <w:r>
        <w:rPr>
          <w:rFonts w:hint="eastAsia" w:ascii="宋体" w:hAnsi="宋体"/>
          <w:sz w:val="24"/>
        </w:rPr>
        <w:t xml:space="preserve"> 投标人投标价格不得超出（不含等于）按照第二章“投标人须知”前附表载明的招标控制价，凡投标人的投标价格超出招标控制价的，该投标人的投标文件不能通过响应性评审。</w:t>
      </w:r>
    </w:p>
    <w:p>
      <w:pPr>
        <w:spacing w:line="400" w:lineRule="exact"/>
        <w:outlineLvl w:val="0"/>
        <w:rPr>
          <w:rFonts w:ascii="宋体" w:hAnsi="宋体"/>
          <w:sz w:val="24"/>
        </w:rPr>
      </w:pPr>
      <w:r>
        <w:rPr>
          <w:rFonts w:hint="eastAsia" w:ascii="宋体" w:hAnsi="宋体"/>
          <w:sz w:val="24"/>
        </w:rPr>
        <w:t>3.3.4 判断否决投标</w:t>
      </w:r>
    </w:p>
    <w:p>
      <w:pPr>
        <w:spacing w:line="400" w:lineRule="exact"/>
        <w:ind w:left="718" w:leftChars="342"/>
        <w:rPr>
          <w:rFonts w:ascii="宋体" w:hAnsi="宋体"/>
          <w:sz w:val="24"/>
        </w:rPr>
      </w:pPr>
      <w:r>
        <w:rPr>
          <w:rFonts w:hint="eastAsia" w:ascii="宋体" w:hAnsi="宋体"/>
          <w:sz w:val="24"/>
        </w:rPr>
        <w:t>判断否决投标的全部条件，在本招标文件《</w:t>
      </w:r>
      <w:r>
        <w:rPr>
          <w:rFonts w:hint="eastAsia" w:ascii="宋体" w:hAnsi="宋体"/>
          <w:bCs/>
          <w:sz w:val="24"/>
        </w:rPr>
        <w:t>投标文件否决性条款摘要》</w:t>
      </w:r>
      <w:r>
        <w:rPr>
          <w:rFonts w:hint="eastAsia" w:ascii="宋体" w:hAnsi="宋体"/>
          <w:sz w:val="24"/>
        </w:rPr>
        <w:t>中集中列示。</w:t>
      </w:r>
    </w:p>
    <w:p>
      <w:pPr>
        <w:spacing w:line="400" w:lineRule="exact"/>
        <w:outlineLvl w:val="0"/>
        <w:rPr>
          <w:rFonts w:ascii="宋体" w:hAnsi="宋体"/>
          <w:sz w:val="24"/>
        </w:rPr>
      </w:pPr>
      <w:r>
        <w:rPr>
          <w:rFonts w:hint="eastAsia" w:ascii="宋体" w:hAnsi="宋体"/>
          <w:sz w:val="24"/>
        </w:rPr>
        <w:t>3.3.5 算术错误修正</w:t>
      </w:r>
    </w:p>
    <w:p>
      <w:pPr>
        <w:spacing w:line="400" w:lineRule="exact"/>
        <w:ind w:left="718" w:leftChars="342"/>
        <w:rPr>
          <w:rFonts w:ascii="宋体" w:hAnsi="宋体"/>
          <w:sz w:val="24"/>
        </w:rPr>
      </w:pPr>
      <w:r>
        <w:rPr>
          <w:rFonts w:hint="eastAsia" w:ascii="宋体" w:hAnsi="宋体"/>
          <w:sz w:val="24"/>
        </w:rPr>
        <w:t>投标报价有算术错误的，评标委员会按以下原则对投标报价进行修正，修正的价格经投标人书面确认后具有约束力。投标人不接受修正价格的，评标委员会应否决其投标。</w:t>
      </w:r>
    </w:p>
    <w:p>
      <w:pPr>
        <w:spacing w:line="400" w:lineRule="exact"/>
        <w:ind w:firstLine="720" w:firstLineChars="300"/>
        <w:rPr>
          <w:rFonts w:ascii="宋体" w:hAnsi="宋体"/>
          <w:sz w:val="24"/>
        </w:rPr>
      </w:pPr>
      <w:r>
        <w:rPr>
          <w:rFonts w:hint="eastAsia" w:ascii="宋体" w:hAnsi="宋体"/>
          <w:sz w:val="24"/>
        </w:rPr>
        <w:t>（1）投标文件中的大写金额与小写金额不一致的，以大写金额为准；</w:t>
      </w:r>
    </w:p>
    <w:p>
      <w:pPr>
        <w:spacing w:line="400" w:lineRule="exact"/>
        <w:ind w:left="718" w:leftChars="342"/>
        <w:rPr>
          <w:rFonts w:ascii="宋体" w:hAnsi="宋体"/>
          <w:sz w:val="24"/>
        </w:rPr>
      </w:pPr>
      <w:r>
        <w:rPr>
          <w:rFonts w:hint="eastAsia" w:ascii="宋体" w:hAnsi="宋体"/>
          <w:sz w:val="24"/>
        </w:rPr>
        <w:t>（2）总价金额与依据单价计算出的结果不一致的，以单价金额为准修正总价，但单价金额小数点有明显错误的除外。</w:t>
      </w:r>
    </w:p>
    <w:p>
      <w:pPr>
        <w:spacing w:line="400" w:lineRule="exact"/>
        <w:outlineLvl w:val="0"/>
        <w:rPr>
          <w:rFonts w:ascii="宋体" w:hAnsi="宋体"/>
          <w:sz w:val="24"/>
        </w:rPr>
      </w:pPr>
      <w:r>
        <w:rPr>
          <w:rFonts w:hint="eastAsia" w:ascii="宋体" w:hAnsi="宋体"/>
          <w:sz w:val="24"/>
        </w:rPr>
        <w:t>3.3.6 澄清、说明或补正</w:t>
      </w:r>
    </w:p>
    <w:p>
      <w:pPr>
        <w:spacing w:line="400" w:lineRule="exact"/>
        <w:ind w:left="718" w:leftChars="342"/>
        <w:rPr>
          <w:rFonts w:ascii="宋体" w:hAnsi="宋体"/>
          <w:sz w:val="24"/>
        </w:rPr>
      </w:pPr>
      <w:r>
        <w:rPr>
          <w:rFonts w:hint="eastAsia" w:ascii="宋体" w:hAnsi="宋体"/>
          <w:sz w:val="24"/>
        </w:rPr>
        <w:t>在初步评审过程中，评标委员会应当就投标文件中不明确的内容要求投标人进行澄清、说明或者补正。投标人应当根据问题澄清通知要求，以书面形式予以澄清、说明或者补正。</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3.4详细评审</w:t>
      </w:r>
    </w:p>
    <w:p>
      <w:pPr>
        <w:spacing w:line="400" w:lineRule="exact"/>
        <w:rPr>
          <w:rFonts w:ascii="宋体" w:hAnsi="宋体" w:cs="宋体"/>
          <w:sz w:val="24"/>
        </w:rPr>
      </w:pPr>
      <w:r>
        <w:rPr>
          <w:rFonts w:hint="eastAsia" w:ascii="宋体" w:hAnsi="宋体" w:cs="宋体"/>
          <w:sz w:val="24"/>
        </w:rPr>
        <w:t>3.4.1 只有通过了初步评审、被判定为合格的投标人方可进入详细评审。</w:t>
      </w:r>
    </w:p>
    <w:p>
      <w:pPr>
        <w:spacing w:line="400" w:lineRule="exact"/>
        <w:ind w:left="720" w:hanging="720" w:hangingChars="300"/>
        <w:outlineLvl w:val="0"/>
        <w:rPr>
          <w:rFonts w:ascii="宋体" w:hAnsi="宋体"/>
          <w:sz w:val="24"/>
        </w:rPr>
      </w:pPr>
      <w:r>
        <w:rPr>
          <w:rFonts w:hint="eastAsia" w:ascii="宋体" w:hAnsi="宋体"/>
          <w:sz w:val="24"/>
        </w:rPr>
        <w:t>3.4.2评标委员会发现投标人的报价明显低于其他投标报价，或者在设有标底时明显低于标底，使得其投标报价可能低于其成本的</w:t>
      </w:r>
      <w:r>
        <w:rPr>
          <w:rFonts w:hint="eastAsia" w:ascii="宋体" w:hAnsi="宋体" w:cs="Arial"/>
          <w:kern w:val="0"/>
          <w:sz w:val="24"/>
        </w:rPr>
        <w:t>，应当</w:t>
      </w:r>
      <w:r>
        <w:rPr>
          <w:rFonts w:hint="eastAsia" w:ascii="宋体" w:hAnsi="宋体"/>
          <w:sz w:val="24"/>
        </w:rPr>
        <w:t>要求该投标人作出书面说明并提供相应的证明材料。投标人不能合理说明或者不能提供相应证明材料的，评标委员会应该认定该投标人以低于成本报价竞标，否决其投标。</w:t>
      </w:r>
    </w:p>
    <w:p>
      <w:pPr>
        <w:spacing w:line="400" w:lineRule="exact"/>
        <w:outlineLvl w:val="0"/>
        <w:rPr>
          <w:rFonts w:ascii="宋体" w:hAnsi="宋体"/>
          <w:sz w:val="24"/>
        </w:rPr>
      </w:pPr>
      <w:r>
        <w:rPr>
          <w:rFonts w:hint="eastAsia" w:ascii="宋体" w:hAnsi="宋体"/>
          <w:sz w:val="24"/>
        </w:rPr>
        <w:t>3.4.3 投标文件的澄清、说明或补正</w:t>
      </w:r>
    </w:p>
    <w:p>
      <w:pPr>
        <w:spacing w:line="400" w:lineRule="exact"/>
        <w:ind w:left="960" w:hanging="960" w:hangingChars="400"/>
        <w:rPr>
          <w:rFonts w:ascii="宋体" w:hAnsi="宋体"/>
          <w:sz w:val="24"/>
        </w:rPr>
      </w:pPr>
      <w:r>
        <w:rPr>
          <w:rFonts w:hint="eastAsia" w:ascii="宋体" w:hAnsi="宋体"/>
          <w:sz w:val="24"/>
        </w:rPr>
        <w:t>3.4.3.1在详细评审过程中，评标委员会可以书面形式要求投标人对所提交的投标文件中不明确的内容进行书面澄清或说明，或者对细微偏差进行补正。评标委员会不接受投标人主动提出的澄清、说明或补正。</w:t>
      </w:r>
    </w:p>
    <w:p>
      <w:pPr>
        <w:spacing w:line="400" w:lineRule="exact"/>
        <w:ind w:left="960" w:hanging="960" w:hangingChars="400"/>
        <w:rPr>
          <w:rFonts w:ascii="宋体" w:hAnsi="宋体"/>
          <w:sz w:val="24"/>
        </w:rPr>
      </w:pPr>
      <w:r>
        <w:rPr>
          <w:rFonts w:hint="eastAsia" w:ascii="宋体" w:hAnsi="宋体"/>
          <w:sz w:val="24"/>
        </w:rPr>
        <w:t>3.4.3.2 澄清、说明和补正不得改变投标文件的实质性内容（算术性错误修正的除外）。投标人的书面澄清、说明和补正属于投标文件的组成部分。</w:t>
      </w:r>
    </w:p>
    <w:p>
      <w:pPr>
        <w:spacing w:line="400" w:lineRule="exact"/>
        <w:ind w:left="960" w:hanging="960" w:hangingChars="400"/>
        <w:rPr>
          <w:rFonts w:ascii="宋体" w:hAnsi="宋体"/>
          <w:sz w:val="24"/>
        </w:rPr>
      </w:pPr>
      <w:r>
        <w:rPr>
          <w:rFonts w:hint="eastAsia" w:ascii="宋体" w:hAnsi="宋体"/>
          <w:sz w:val="24"/>
        </w:rPr>
        <w:t>3.4.3.3 评标委员会对投标人提交的澄清、说明或补正有疑问的，可以要求投标人进一步澄清、说明或补正，直至满足评标委员会的要求。</w:t>
      </w:r>
    </w:p>
    <w:p>
      <w:pPr>
        <w:spacing w:line="400" w:lineRule="exact"/>
        <w:outlineLvl w:val="0"/>
        <w:rPr>
          <w:rFonts w:ascii="黑体" w:eastAsia="黑体"/>
          <w:sz w:val="24"/>
        </w:rPr>
      </w:pPr>
    </w:p>
    <w:p>
      <w:pPr>
        <w:spacing w:line="400" w:lineRule="exact"/>
        <w:outlineLvl w:val="0"/>
        <w:rPr>
          <w:rFonts w:ascii="黑体" w:eastAsia="黑体"/>
          <w:sz w:val="24"/>
        </w:rPr>
      </w:pPr>
      <w:r>
        <w:rPr>
          <w:rFonts w:hint="eastAsia" w:ascii="黑体" w:eastAsia="黑体"/>
          <w:sz w:val="24"/>
        </w:rPr>
        <w:t>3.5 推荐中标候选人</w:t>
      </w:r>
    </w:p>
    <w:p>
      <w:pPr>
        <w:spacing w:line="400" w:lineRule="exact"/>
        <w:ind w:firstLine="480" w:firstLineChars="200"/>
        <w:outlineLvl w:val="0"/>
        <w:rPr>
          <w:rFonts w:ascii="宋体" w:hAnsi="宋体"/>
          <w:sz w:val="24"/>
        </w:rPr>
      </w:pPr>
      <w:r>
        <w:rPr>
          <w:rFonts w:hint="eastAsia" w:ascii="宋体" w:hAnsi="宋体"/>
          <w:sz w:val="24"/>
        </w:rPr>
        <w:t>评标委员会对满足招标文件实质要求的投标文件，根据本章第2.2款的规定确定并推</w:t>
      </w:r>
    </w:p>
    <w:p>
      <w:pPr>
        <w:spacing w:line="400" w:lineRule="exact"/>
        <w:ind w:firstLine="480" w:firstLineChars="200"/>
        <w:outlineLvl w:val="0"/>
        <w:rPr>
          <w:rFonts w:ascii="宋体" w:hAnsi="宋体"/>
          <w:sz w:val="24"/>
        </w:rPr>
      </w:pPr>
      <w:r>
        <w:rPr>
          <w:rFonts w:hint="eastAsia" w:ascii="宋体" w:hAnsi="宋体"/>
          <w:sz w:val="24"/>
        </w:rPr>
        <w:t>荐中标候选人。</w:t>
      </w:r>
    </w:p>
    <w:p>
      <w:pPr>
        <w:spacing w:line="400" w:lineRule="exact"/>
        <w:ind w:firstLine="480" w:firstLineChars="200"/>
        <w:outlineLvl w:val="0"/>
        <w:rPr>
          <w:rFonts w:ascii="宋体" w:hAnsi="宋体"/>
          <w:sz w:val="24"/>
        </w:rPr>
      </w:pPr>
    </w:p>
    <w:p>
      <w:pPr>
        <w:spacing w:line="400" w:lineRule="exact"/>
        <w:outlineLvl w:val="0"/>
        <w:rPr>
          <w:rFonts w:ascii="黑体" w:eastAsia="黑体"/>
          <w:sz w:val="24"/>
        </w:rPr>
      </w:pPr>
      <w:r>
        <w:rPr>
          <w:rFonts w:hint="eastAsia" w:ascii="黑体" w:eastAsia="黑体"/>
          <w:sz w:val="24"/>
        </w:rPr>
        <w:t>3.6 编制及提交评标报告</w:t>
      </w:r>
    </w:p>
    <w:p>
      <w:pPr>
        <w:spacing w:line="400" w:lineRule="exact"/>
        <w:ind w:firstLine="480" w:firstLineChars="200"/>
      </w:pPr>
      <w:r>
        <w:rPr>
          <w:rFonts w:hint="eastAsia" w:ascii="宋体" w:hAnsi="宋体"/>
          <w:sz w:val="24"/>
        </w:rPr>
        <w:t>评标委员会在评审结束后向招标人提交评标报告。评标报告应当由全体评标委员会成员签字，并于评标结束时抄送有关行政监督部门。</w:t>
      </w:r>
    </w:p>
    <w:p>
      <w:pPr>
        <w:spacing w:line="400" w:lineRule="exact"/>
        <w:outlineLvl w:val="0"/>
        <w:rPr>
          <w:rFonts w:ascii="黑体" w:hAnsi="黑体" w:eastAsia="黑体"/>
          <w:sz w:val="28"/>
          <w:szCs w:val="28"/>
        </w:rPr>
      </w:pPr>
    </w:p>
    <w:p>
      <w:pPr>
        <w:spacing w:line="400" w:lineRule="exact"/>
        <w:outlineLvl w:val="0"/>
        <w:rPr>
          <w:rFonts w:ascii="黑体" w:hAnsi="黑体" w:eastAsia="黑体"/>
          <w:sz w:val="28"/>
          <w:szCs w:val="28"/>
        </w:rPr>
      </w:pPr>
      <w:r>
        <w:rPr>
          <w:rFonts w:hint="eastAsia" w:ascii="黑体" w:hAnsi="黑体" w:eastAsia="黑体"/>
          <w:sz w:val="28"/>
          <w:szCs w:val="28"/>
        </w:rPr>
        <w:t>4、特殊情况的处置程序</w:t>
      </w: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.1</w:t>
      </w:r>
      <w:r>
        <w:rPr>
          <w:rFonts w:hint="eastAsia" w:ascii="黑体" w:hAnsi="黑体" w:eastAsia="黑体"/>
          <w:sz w:val="24"/>
        </w:rPr>
        <w:t>关于评标活动暂停</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.1.1</w:t>
      </w:r>
      <w:r>
        <w:rPr>
          <w:rFonts w:hint="eastAsia" w:ascii="宋体" w:hAnsi="宋体"/>
          <w:sz w:val="24"/>
        </w:rPr>
        <w:t>评标委员会应当执行连续评标的原则，按评标办法中规定的程序、内容、方法、标准完成全部评标工作。只有发生不可抗力导致评标工作无法继续时，评标活动方可暂停。</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.1.2</w:t>
      </w:r>
      <w:r>
        <w:rPr>
          <w:rFonts w:hint="eastAsia" w:ascii="宋体" w:hAnsi="宋体"/>
          <w:sz w:val="24"/>
        </w:rPr>
        <w:t xml:space="preserve"> 发生评标暂停情况时，评标委员会应当封存全部投标文件和评标记录，待不可抗力的影响结束且具备继续评标的条件时，由原评标委员会继续评标。</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.2</w:t>
      </w:r>
      <w:r>
        <w:rPr>
          <w:rFonts w:hint="eastAsia" w:ascii="黑体" w:hAnsi="黑体" w:eastAsia="黑体"/>
          <w:sz w:val="24"/>
        </w:rPr>
        <w:t>关于评标中途更换评标委员会成员</w:t>
      </w:r>
    </w:p>
    <w:p>
      <w:pPr>
        <w:spacing w:line="400" w:lineRule="exact"/>
        <w:rPr>
          <w:rFonts w:ascii="宋体" w:hAnsi="宋体"/>
          <w:sz w:val="24"/>
        </w:rPr>
      </w:pPr>
      <w:r>
        <w:rPr>
          <w:rFonts w:hint="eastAsia" w:ascii="宋体" w:hAnsi="宋体"/>
          <w:sz w:val="24"/>
        </w:rPr>
        <w:t>4</w:t>
      </w:r>
      <w:r>
        <w:rPr>
          <w:rFonts w:ascii="宋体" w:hAnsi="宋体"/>
          <w:sz w:val="24"/>
        </w:rPr>
        <w:t>.2.1</w:t>
      </w:r>
      <w:r>
        <w:rPr>
          <w:rFonts w:hint="eastAsia" w:ascii="宋体" w:hAnsi="宋体"/>
          <w:sz w:val="24"/>
        </w:rPr>
        <w:t xml:space="preserve"> 除非发生下列情况之一，评标委员会成员不得在评标中途更换：</w:t>
      </w:r>
    </w:p>
    <w:p>
      <w:pPr>
        <w:spacing w:line="400" w:lineRule="exact"/>
        <w:ind w:firstLine="720" w:firstLineChars="3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）因不可抗拒的客观原因，不能到场或需在评标中途退出评标活动。</w:t>
      </w:r>
    </w:p>
    <w:p>
      <w:pPr>
        <w:spacing w:line="400" w:lineRule="exact"/>
        <w:ind w:firstLine="720" w:firstLineChars="3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）根据法律法规规定，某个或某几个评标委员会成员需要回避。</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.2.2</w:t>
      </w:r>
      <w:r>
        <w:rPr>
          <w:rFonts w:hint="eastAsia" w:ascii="宋体" w:hAnsi="宋体"/>
          <w:sz w:val="24"/>
        </w:rPr>
        <w:t xml:space="preserve"> 退出评标的评标委员会成员，其已完成的评标行为无效。由招标人根据本招标文件规定的评标委员会成员产生方式另行确定替代者进行评标。</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.3</w:t>
      </w:r>
      <w:r>
        <w:rPr>
          <w:rFonts w:hint="eastAsia" w:ascii="黑体" w:hAnsi="黑体" w:eastAsia="黑体"/>
          <w:sz w:val="24"/>
        </w:rPr>
        <w:t>记名投票</w:t>
      </w:r>
    </w:p>
    <w:p>
      <w:pPr>
        <w:spacing w:line="400" w:lineRule="exact"/>
        <w:rPr>
          <w:rFonts w:ascii="宋体" w:hAnsi="宋体"/>
          <w:sz w:val="24"/>
        </w:rPr>
      </w:pPr>
      <w:r>
        <w:rPr>
          <w:rFonts w:hint="eastAsia" w:ascii="宋体" w:hAnsi="宋体"/>
          <w:sz w:val="24"/>
        </w:rPr>
        <w:t>在任何评标环节中，需评标委员会就某项定性的评审结论做出表决的，由评标委员会全体成员按照少数服从多数的原则，以记名投票方式表决。</w:t>
      </w:r>
    </w:p>
    <w:p>
      <w:pPr>
        <w:spacing w:line="400" w:lineRule="exact"/>
      </w:pPr>
    </w:p>
    <w:p>
      <w:pPr>
        <w:spacing w:before="120" w:after="120" w:line="400" w:lineRule="exact"/>
      </w:pPr>
    </w:p>
    <w:p>
      <w:pPr>
        <w:spacing w:before="120" w:after="120" w:line="400" w:lineRule="exact"/>
      </w:pPr>
    </w:p>
    <w:p>
      <w:pPr>
        <w:tabs>
          <w:tab w:val="left" w:pos="1986"/>
        </w:tabs>
        <w:autoSpaceDE w:val="0"/>
        <w:autoSpaceDN w:val="0"/>
        <w:spacing w:line="400" w:lineRule="exact"/>
        <w:jc w:val="left"/>
      </w:pPr>
    </w:p>
    <w:p>
      <w:pPr>
        <w:spacing w:line="400" w:lineRule="exact"/>
      </w:pPr>
      <w:r>
        <w:br w:type="page"/>
      </w:r>
    </w:p>
    <w:p>
      <w:pPr>
        <w:pStyle w:val="2"/>
        <w:spacing w:before="120" w:after="120" w:line="400" w:lineRule="exact"/>
        <w:jc w:val="center"/>
        <w:rPr>
          <w:rFonts w:ascii="黑体" w:hAnsi="黑体" w:eastAsia="黑体"/>
          <w:b w:val="0"/>
          <w:bCs w:val="0"/>
        </w:rPr>
      </w:pPr>
      <w:bookmarkStart w:id="83" w:name="_Toc144974577"/>
      <w:bookmarkStart w:id="84" w:name="_Toc152045609"/>
      <w:bookmarkStart w:id="85" w:name="_Toc359208501"/>
      <w:bookmarkStart w:id="86" w:name="_Toc152042387"/>
      <w:r>
        <w:rPr>
          <w:rFonts w:hint="eastAsia" w:ascii="黑体" w:hAnsi="黑体" w:eastAsia="黑体"/>
          <w:b w:val="0"/>
          <w:bCs w:val="0"/>
          <w:sz w:val="32"/>
          <w:szCs w:val="32"/>
        </w:rPr>
        <w:t>第四章 合同条款及格式</w:t>
      </w:r>
      <w:bookmarkEnd w:id="83"/>
      <w:bookmarkEnd w:id="84"/>
      <w:bookmarkEnd w:id="85"/>
      <w:bookmarkEnd w:id="86"/>
    </w:p>
    <w:p>
      <w:pPr>
        <w:ind w:right="-212" w:rightChars="-101"/>
        <w:jc w:val="left"/>
        <w:rPr>
          <w:rFonts w:ascii="宋体" w:hAnsi="宋体" w:cs="宋体"/>
          <w:snapToGrid w:val="0"/>
          <w:kern w:val="0"/>
          <w:szCs w:val="21"/>
        </w:rPr>
      </w:pPr>
      <w:r>
        <w:br w:type="page"/>
      </w:r>
      <w:bookmarkStart w:id="87" w:name="_Toc111800560"/>
      <w:bookmarkStart w:id="88" w:name="_Toc110240931"/>
      <w:bookmarkStart w:id="89" w:name="_Toc111882008"/>
      <w:bookmarkStart w:id="90" w:name="_Toc157914392"/>
      <w:bookmarkStart w:id="91" w:name="_Toc101777645"/>
      <w:bookmarkStart w:id="92" w:name="_Toc85854822"/>
    </w:p>
    <w:bookmarkEnd w:id="87"/>
    <w:bookmarkEnd w:id="88"/>
    <w:bookmarkEnd w:id="89"/>
    <w:p>
      <w:pPr>
        <w:pStyle w:val="361"/>
        <w:spacing w:line="360" w:lineRule="auto"/>
        <w:jc w:val="both"/>
        <w:rPr>
          <w:sz w:val="24"/>
        </w:rPr>
      </w:pPr>
    </w:p>
    <w:p>
      <w:pPr>
        <w:ind w:right="-108"/>
        <w:rPr>
          <w:rFonts w:ascii="华文中宋" w:hAnsi="华文中宋" w:eastAsia="华文中宋"/>
          <w:sz w:val="24"/>
        </w:rPr>
      </w:pPr>
      <w:r>
        <w:rPr>
          <w:rFonts w:hint="eastAsia" w:ascii="华文中宋" w:hAnsi="华文中宋" w:eastAsia="华文中宋"/>
          <w:sz w:val="24"/>
        </w:rPr>
        <w:t>工程编号：</w:t>
      </w:r>
    </w:p>
    <w:p>
      <w:pPr>
        <w:rPr>
          <w:rFonts w:ascii="宋体" w:hAnsi="宋体" w:cs="宋体"/>
          <w:kern w:val="0"/>
          <w:sz w:val="24"/>
        </w:rPr>
      </w:pPr>
      <w:r>
        <w:rPr>
          <w:rFonts w:hint="eastAsia" w:ascii="华文中宋" w:hAnsi="华文中宋" w:eastAsia="华文中宋"/>
          <w:sz w:val="24"/>
        </w:rPr>
        <w:t xml:space="preserve">              合同编号：</w:t>
      </w:r>
    </w:p>
    <w:p>
      <w:pPr>
        <w:ind w:right="-108"/>
        <w:jc w:val="center"/>
        <w:rPr>
          <w:rFonts w:ascii="华文中宋" w:hAnsi="华文中宋" w:eastAsia="华文中宋"/>
          <w:sz w:val="30"/>
          <w:szCs w:val="30"/>
          <w:u w:val="single"/>
        </w:rPr>
      </w:pPr>
    </w:p>
    <w:p>
      <w:pPr>
        <w:tabs>
          <w:tab w:val="left" w:pos="5565"/>
        </w:tabs>
        <w:jc w:val="right"/>
        <w:rPr>
          <w:rFonts w:ascii="华文中宋" w:hAnsi="华文中宋" w:eastAsia="华文中宋"/>
          <w:sz w:val="30"/>
          <w:szCs w:val="30"/>
        </w:rPr>
      </w:pPr>
    </w:p>
    <w:p>
      <w:pPr>
        <w:jc w:val="right"/>
        <w:rPr>
          <w:sz w:val="32"/>
          <w:szCs w:val="32"/>
          <w:u w:val="single"/>
        </w:rPr>
      </w:pPr>
    </w:p>
    <w:p>
      <w:pPr>
        <w:jc w:val="center"/>
        <w:rPr>
          <w:rFonts w:hint="eastAsia" w:ascii="方正姚体" w:hAnsi="华文中宋" w:eastAsia="方正姚体"/>
          <w:b/>
          <w:sz w:val="72"/>
          <w:szCs w:val="72"/>
          <w:lang w:eastAsia="zh-CN"/>
        </w:rPr>
      </w:pPr>
      <w:r>
        <w:rPr>
          <w:rFonts w:hint="eastAsia" w:ascii="方正姚体" w:hAnsi="华文中宋" w:eastAsia="方正姚体"/>
          <w:b/>
          <w:sz w:val="72"/>
          <w:szCs w:val="72"/>
          <w:lang w:eastAsia="zh-CN"/>
        </w:rPr>
        <w:t>上林观湖苑幼儿园（第二次招标）</w:t>
      </w:r>
    </w:p>
    <w:p>
      <w:pPr>
        <w:jc w:val="center"/>
        <w:rPr>
          <w:rFonts w:ascii="方正姚体" w:hAnsi="华文中宋" w:eastAsia="方正姚体"/>
          <w:b/>
          <w:sz w:val="72"/>
          <w:szCs w:val="72"/>
        </w:rPr>
      </w:pPr>
      <w:r>
        <w:rPr>
          <w:rFonts w:hint="eastAsia" w:ascii="方正姚体" w:hAnsi="华文中宋" w:eastAsia="方正姚体"/>
          <w:b/>
          <w:sz w:val="72"/>
          <w:szCs w:val="72"/>
        </w:rPr>
        <w:t>施工总承包工程施工合同</w:t>
      </w:r>
    </w:p>
    <w:p>
      <w:pPr>
        <w:jc w:val="center"/>
        <w:rPr>
          <w:rFonts w:ascii="宋体" w:hAnsi="宋体"/>
          <w:b/>
          <w:sz w:val="48"/>
          <w:szCs w:val="48"/>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beforeLines="100" w:afterLines="50" w:line="480" w:lineRule="auto"/>
        <w:ind w:firstLine="1080" w:firstLineChars="300"/>
        <w:rPr>
          <w:rFonts w:hint="eastAsia" w:ascii="宋体" w:hAnsi="宋体" w:eastAsia="黑体"/>
          <w:sz w:val="28"/>
          <w:szCs w:val="28"/>
          <w:u w:val="single"/>
          <w:lang w:eastAsia="zh-CN"/>
        </w:rPr>
      </w:pPr>
      <w:r>
        <w:rPr>
          <w:rFonts w:hint="eastAsia" w:ascii="黑体" w:eastAsia="黑体"/>
          <w:sz w:val="36"/>
          <w:szCs w:val="36"/>
        </w:rPr>
        <w:t>工程名称：</w:t>
      </w:r>
      <w:r>
        <w:rPr>
          <w:rFonts w:hint="eastAsia" w:ascii="宋体" w:hAnsi="宋体" w:eastAsia="黑体"/>
          <w:sz w:val="28"/>
          <w:szCs w:val="28"/>
          <w:u w:val="single"/>
          <w:lang w:eastAsia="zh-CN"/>
        </w:rPr>
        <w:t>上林观湖苑幼儿园（第二次招标）</w:t>
      </w:r>
    </w:p>
    <w:p>
      <w:pPr>
        <w:spacing w:beforeLines="100" w:afterLines="50" w:line="480" w:lineRule="auto"/>
        <w:ind w:firstLine="1080" w:firstLineChars="300"/>
        <w:rPr>
          <w:rFonts w:ascii="宋体" w:hAnsi="宋体"/>
          <w:sz w:val="28"/>
          <w:szCs w:val="28"/>
          <w:u w:val="single"/>
        </w:rPr>
      </w:pPr>
      <w:r>
        <w:rPr>
          <w:rFonts w:hint="eastAsia" w:ascii="黑体" w:eastAsia="黑体"/>
          <w:sz w:val="36"/>
          <w:szCs w:val="36"/>
        </w:rPr>
        <w:t>工程地点：</w:t>
      </w:r>
      <w:r>
        <w:rPr>
          <w:rFonts w:hint="eastAsia" w:ascii="宋体" w:hAnsi="宋体"/>
          <w:sz w:val="28"/>
          <w:szCs w:val="28"/>
          <w:u w:val="single"/>
        </w:rPr>
        <w:t>佛山市南海区狮山镇官窑永安大道西232号</w:t>
      </w:r>
    </w:p>
    <w:p>
      <w:pPr>
        <w:spacing w:beforeLines="100" w:afterLines="50" w:line="480" w:lineRule="auto"/>
        <w:ind w:firstLine="1080" w:firstLineChars="300"/>
        <w:rPr>
          <w:rFonts w:ascii="黑体"/>
          <w:sz w:val="36"/>
          <w:szCs w:val="36"/>
          <w:u w:val="single"/>
        </w:rPr>
      </w:pPr>
      <w:r>
        <w:rPr>
          <w:rFonts w:hint="eastAsia" w:ascii="黑体" w:eastAsia="黑体"/>
          <w:sz w:val="36"/>
          <w:szCs w:val="36"/>
        </w:rPr>
        <w:t>发包人：</w:t>
      </w:r>
      <w:r>
        <w:rPr>
          <w:rFonts w:hint="eastAsia" w:ascii="宋体" w:hAnsi="宋体"/>
          <w:sz w:val="28"/>
          <w:szCs w:val="28"/>
          <w:u w:val="single"/>
        </w:rPr>
        <w:t>佛山市南海恒德胜嘉置业有限公司</w:t>
      </w:r>
    </w:p>
    <w:p>
      <w:pPr>
        <w:spacing w:beforeLines="100" w:afterLines="50" w:line="480" w:lineRule="auto"/>
        <w:ind w:firstLine="1080" w:firstLineChars="300"/>
        <w:rPr>
          <w:rFonts w:ascii="黑体" w:eastAsia="黑体"/>
          <w:sz w:val="36"/>
          <w:szCs w:val="36"/>
          <w:u w:val="single"/>
        </w:rPr>
      </w:pPr>
      <w:r>
        <w:rPr>
          <w:rFonts w:hint="eastAsia" w:ascii="黑体" w:eastAsia="黑体"/>
          <w:sz w:val="36"/>
          <w:szCs w:val="36"/>
        </w:rPr>
        <w:t>承包人：</w:t>
      </w:r>
    </w:p>
    <w:p>
      <w:pPr>
        <w:spacing w:line="500" w:lineRule="exact"/>
        <w:jc w:val="center"/>
        <w:rPr>
          <w:b/>
          <w:sz w:val="30"/>
          <w:szCs w:val="30"/>
        </w:rPr>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851" w:footer="992" w:gutter="0"/>
          <w:cols w:space="720" w:num="1"/>
          <w:titlePg/>
          <w:docGrid w:type="linesAndChars" w:linePitch="312" w:charSpace="0"/>
        </w:sectPr>
      </w:pPr>
      <w:bookmarkStart w:id="93" w:name="_Toc18985581"/>
      <w:bookmarkStart w:id="94" w:name="_Toc18985535"/>
      <w:bookmarkStart w:id="95" w:name="_Toc18985701"/>
      <w:bookmarkStart w:id="96" w:name="_Toc18984943"/>
    </w:p>
    <w:p>
      <w:pPr>
        <w:spacing w:line="500" w:lineRule="exact"/>
        <w:jc w:val="center"/>
        <w:rPr>
          <w:b/>
          <w:sz w:val="30"/>
          <w:szCs w:val="30"/>
        </w:rPr>
      </w:pPr>
      <w:r>
        <w:rPr>
          <w:rFonts w:hint="eastAsia"/>
          <w:b/>
          <w:sz w:val="30"/>
          <w:szCs w:val="30"/>
        </w:rPr>
        <w:t>目录</w:t>
      </w:r>
    </w:p>
    <w:p>
      <w:pPr>
        <w:pStyle w:val="47"/>
        <w:tabs>
          <w:tab w:val="left" w:pos="1080"/>
        </w:tabs>
        <w:snapToGrid w:val="0"/>
        <w:spacing w:after="0" w:line="720" w:lineRule="auto"/>
        <w:ind w:leftChars="0"/>
        <w:rPr>
          <w:rFonts w:ascii="宋体" w:hAnsi="宋体"/>
          <w:b/>
          <w:sz w:val="24"/>
        </w:rPr>
      </w:pP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第一部分  协 议 书</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第二部分  合同通用条款</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第三部分  专用条款</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第四部分  附件与格式</w:t>
      </w:r>
    </w:p>
    <w:p>
      <w:pPr>
        <w:spacing w:beforeLines="50" w:afterLines="50" w:line="480" w:lineRule="auto"/>
        <w:jc w:val="center"/>
        <w:outlineLvl w:val="0"/>
        <w:rPr>
          <w:rFonts w:ascii="黑体" w:hAnsi="宋体" w:eastAsia="黑体"/>
          <w:sz w:val="36"/>
        </w:rPr>
        <w:sectPr>
          <w:footerReference r:id="rId10" w:type="first"/>
          <w:pgSz w:w="11906" w:h="16838"/>
          <w:pgMar w:top="1440" w:right="1797" w:bottom="1440" w:left="1797" w:header="851" w:footer="992" w:gutter="0"/>
          <w:cols w:space="720" w:num="1"/>
          <w:titlePg/>
          <w:docGrid w:type="linesAndChars" w:linePitch="312" w:charSpace="0"/>
        </w:sectPr>
      </w:pPr>
      <w:bookmarkStart w:id="97" w:name="_Toc244509507"/>
      <w:bookmarkStart w:id="98" w:name="_Toc244677375"/>
      <w:bookmarkStart w:id="99" w:name="_Toc246901720"/>
    </w:p>
    <w:p>
      <w:pPr>
        <w:adjustRightInd w:val="0"/>
        <w:snapToGrid w:val="0"/>
        <w:jc w:val="center"/>
        <w:outlineLvl w:val="0"/>
        <w:rPr>
          <w:rFonts w:ascii="黑体" w:hAnsi="宋体" w:eastAsia="黑体"/>
          <w:sz w:val="36"/>
        </w:rPr>
      </w:pPr>
      <w:r>
        <w:rPr>
          <w:rFonts w:hint="eastAsia" w:ascii="黑体" w:hAnsi="宋体" w:eastAsia="黑体"/>
          <w:sz w:val="36"/>
        </w:rPr>
        <w:t>第一部分协议书</w:t>
      </w:r>
      <w:bookmarkEnd w:id="97"/>
      <w:bookmarkEnd w:id="98"/>
      <w:bookmarkEnd w:id="99"/>
    </w:p>
    <w:p>
      <w:pPr>
        <w:adjustRightInd w:val="0"/>
        <w:snapToGrid w:val="0"/>
        <w:jc w:val="center"/>
        <w:outlineLvl w:val="0"/>
        <w:rPr>
          <w:rFonts w:ascii="黑体" w:hAnsi="宋体" w:eastAsia="黑体"/>
          <w:sz w:val="36"/>
        </w:rPr>
      </w:pPr>
    </w:p>
    <w:p>
      <w:pPr>
        <w:adjustRightInd w:val="0"/>
        <w:snapToGrid w:val="0"/>
        <w:jc w:val="left"/>
        <w:rPr>
          <w:rFonts w:ascii="宋体" w:hAnsi="宋体"/>
          <w:b/>
          <w:szCs w:val="21"/>
          <w:u w:val="single"/>
        </w:rPr>
      </w:pPr>
      <w:r>
        <w:rPr>
          <w:rFonts w:hint="eastAsia" w:ascii="宋体" w:hAnsi="宋体"/>
          <w:b/>
          <w:szCs w:val="21"/>
        </w:rPr>
        <w:t>发包人（或甲方）</w:t>
      </w:r>
      <w:r>
        <w:rPr>
          <w:rFonts w:ascii="宋体" w:hAnsi="宋体"/>
          <w:b/>
          <w:szCs w:val="21"/>
        </w:rPr>
        <w:t>:</w:t>
      </w:r>
      <w:r>
        <w:rPr>
          <w:rFonts w:hint="eastAsia" w:ascii="宋体" w:hAnsi="宋体"/>
          <w:b/>
          <w:szCs w:val="21"/>
        </w:rPr>
        <w:t>（全称）</w:t>
      </w:r>
      <w:r>
        <w:rPr>
          <w:rFonts w:hint="eastAsia" w:ascii="宋体" w:hAnsi="宋体"/>
          <w:b/>
          <w:szCs w:val="21"/>
          <w:u w:val="single"/>
        </w:rPr>
        <w:t>佛山市南海恒德胜嘉置业有限公司</w:t>
      </w:r>
    </w:p>
    <w:p>
      <w:pPr>
        <w:adjustRightInd w:val="0"/>
        <w:snapToGrid w:val="0"/>
        <w:jc w:val="left"/>
        <w:rPr>
          <w:rFonts w:ascii="宋体" w:hAnsi="宋体"/>
          <w:b/>
          <w:szCs w:val="21"/>
          <w:u w:val="single"/>
        </w:rPr>
      </w:pPr>
      <w:r>
        <w:rPr>
          <w:rFonts w:hint="eastAsia" w:ascii="宋体" w:hAnsi="宋体"/>
          <w:b/>
          <w:szCs w:val="21"/>
        </w:rPr>
        <w:t>承包人（或乙方）</w:t>
      </w:r>
      <w:r>
        <w:rPr>
          <w:rFonts w:ascii="宋体" w:hAnsi="宋体"/>
          <w:b/>
          <w:szCs w:val="21"/>
        </w:rPr>
        <w:t>:</w:t>
      </w:r>
      <w:r>
        <w:rPr>
          <w:rFonts w:hint="eastAsia" w:ascii="宋体" w:hAnsi="宋体"/>
          <w:b/>
          <w:szCs w:val="21"/>
        </w:rPr>
        <w:t>（全称）</w:t>
      </w:r>
    </w:p>
    <w:p>
      <w:pPr>
        <w:adjustRightInd w:val="0"/>
        <w:snapToGrid w:val="0"/>
        <w:jc w:val="left"/>
        <w:rPr>
          <w:rFonts w:ascii="宋体" w:hAnsi="宋体"/>
          <w:b/>
          <w:szCs w:val="21"/>
          <w:u w:val="single"/>
        </w:rPr>
      </w:pPr>
    </w:p>
    <w:p>
      <w:pPr>
        <w:adjustRightInd w:val="0"/>
        <w:snapToGrid w:val="0"/>
        <w:spacing w:line="400" w:lineRule="exact"/>
        <w:ind w:firstLine="420" w:firstLineChars="200"/>
        <w:jc w:val="left"/>
        <w:rPr>
          <w:rFonts w:ascii="宋体" w:hAnsi="宋体" w:cs="宋体"/>
          <w:snapToGrid w:val="0"/>
          <w:kern w:val="0"/>
          <w:szCs w:val="21"/>
        </w:rPr>
      </w:pPr>
      <w:r>
        <w:rPr>
          <w:rFonts w:hint="eastAsia" w:ascii="宋体" w:hAnsi="宋体" w:cs="宋体"/>
          <w:snapToGrid w:val="0"/>
          <w:kern w:val="0"/>
          <w:szCs w:val="21"/>
        </w:rPr>
        <w:t>甲、乙双方依照《中华人民共和国合同法》、《中华人民共和国建筑法》、《建设工程质量管理条例》、建设工程施工合同示范文本及有关法律、行政法规，遵循平等、自愿、公平和诚实信用的原则，双方就</w:t>
      </w:r>
      <w:r>
        <w:rPr>
          <w:rFonts w:hint="eastAsia" w:ascii="宋体" w:hAnsi="宋体" w:cs="宋体"/>
          <w:snapToGrid w:val="0"/>
          <w:kern w:val="0"/>
          <w:szCs w:val="21"/>
          <w:u w:val="single"/>
          <w:lang w:eastAsia="zh-CN"/>
        </w:rPr>
        <w:t>上林观湖苑幼儿园（第二次招标）</w:t>
      </w:r>
      <w:r>
        <w:rPr>
          <w:rFonts w:hint="eastAsia" w:ascii="宋体" w:hAnsi="宋体" w:cs="宋体"/>
          <w:snapToGrid w:val="0"/>
          <w:kern w:val="0"/>
          <w:szCs w:val="21"/>
        </w:rPr>
        <w:t>工程总承包工程施工事宜协商一致，订立本合同。</w:t>
      </w:r>
    </w:p>
    <w:p>
      <w:pPr>
        <w:adjustRightInd w:val="0"/>
        <w:snapToGrid w:val="0"/>
        <w:spacing w:line="400" w:lineRule="exact"/>
        <w:ind w:left="843" w:hanging="840" w:hangingChars="400"/>
        <w:rPr>
          <w:rFonts w:ascii="黑体" w:hAnsi="宋体" w:eastAsia="黑体"/>
          <w:b/>
          <w:bCs/>
          <w:szCs w:val="21"/>
        </w:rPr>
      </w:pPr>
    </w:p>
    <w:p>
      <w:pPr>
        <w:adjustRightInd w:val="0"/>
        <w:snapToGrid w:val="0"/>
        <w:spacing w:line="400" w:lineRule="exact"/>
        <w:ind w:left="843" w:hanging="840" w:hangingChars="400"/>
        <w:jc w:val="left"/>
        <w:rPr>
          <w:rFonts w:ascii="黑体" w:hAnsi="宋体" w:eastAsia="黑体"/>
          <w:b/>
          <w:bCs/>
          <w:szCs w:val="21"/>
        </w:rPr>
      </w:pPr>
      <w:r>
        <w:rPr>
          <w:rFonts w:hint="eastAsia" w:ascii="黑体" w:hAnsi="宋体" w:eastAsia="黑体"/>
          <w:b/>
          <w:bCs/>
          <w:szCs w:val="21"/>
        </w:rPr>
        <w:t>1、工程概况</w:t>
      </w:r>
    </w:p>
    <w:p>
      <w:pPr>
        <w:autoSpaceDE w:val="0"/>
        <w:adjustRightInd w:val="0"/>
        <w:snapToGrid w:val="0"/>
        <w:spacing w:line="400" w:lineRule="exact"/>
        <w:ind w:left="840" w:hanging="840" w:hangingChars="400"/>
        <w:jc w:val="left"/>
        <w:rPr>
          <w:rFonts w:ascii="宋体" w:hAnsi="宋体"/>
          <w:szCs w:val="21"/>
        </w:rPr>
      </w:pPr>
      <w:r>
        <w:rPr>
          <w:rFonts w:hint="eastAsia" w:ascii="宋体" w:hAnsi="宋体"/>
          <w:szCs w:val="21"/>
        </w:rPr>
        <w:t>1.1     工程名称：</w:t>
      </w:r>
      <w:r>
        <w:rPr>
          <w:rFonts w:hint="eastAsia" w:ascii="宋体" w:hAnsi="宋体"/>
          <w:szCs w:val="21"/>
          <w:u w:val="single"/>
          <w:lang w:eastAsia="zh-CN"/>
        </w:rPr>
        <w:t>上林观湖苑幼儿园（第二次招标）</w:t>
      </w:r>
      <w:r>
        <w:rPr>
          <w:rFonts w:hint="eastAsia" w:ascii="宋体" w:hAnsi="宋体"/>
          <w:szCs w:val="21"/>
        </w:rPr>
        <w:t>（下称“本工程”）。</w:t>
      </w:r>
    </w:p>
    <w:p>
      <w:pPr>
        <w:autoSpaceDE w:val="0"/>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1.2     工程地点：</w:t>
      </w:r>
      <w:r>
        <w:rPr>
          <w:rFonts w:hint="eastAsia" w:ascii="宋体" w:hAnsi="宋体" w:cs="仿宋_GB2312"/>
          <w:szCs w:val="21"/>
          <w:u w:val="single"/>
        </w:rPr>
        <w:t>佛山市南海区狮山镇官窑永安大道西232号</w:t>
      </w:r>
    </w:p>
    <w:p>
      <w:pPr>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1.3     工程内容：</w:t>
      </w:r>
      <w:r>
        <w:rPr>
          <w:rFonts w:hint="eastAsia" w:ascii="宋体" w:hAnsi="宋体"/>
          <w:szCs w:val="21"/>
          <w:u w:val="single"/>
        </w:rPr>
        <w:t>详见承包范围</w:t>
      </w:r>
      <w:r>
        <w:rPr>
          <w:rFonts w:hint="eastAsia" w:ascii="宋体" w:hAnsi="宋体"/>
          <w:szCs w:val="21"/>
        </w:rPr>
        <w:t>。</w:t>
      </w:r>
    </w:p>
    <w:p>
      <w:pPr>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1.4     资金来源：</w:t>
      </w:r>
      <w:r>
        <w:rPr>
          <w:rFonts w:hint="eastAsia" w:ascii="宋体" w:hAnsi="宋体"/>
          <w:szCs w:val="21"/>
          <w:u w:val="single"/>
        </w:rPr>
        <w:t>甲方自筹</w:t>
      </w:r>
      <w:r>
        <w:rPr>
          <w:rFonts w:hint="eastAsia" w:ascii="宋体" w:hAnsi="宋体"/>
          <w:szCs w:val="21"/>
        </w:rPr>
        <w:t>。</w:t>
      </w:r>
    </w:p>
    <w:p>
      <w:pPr>
        <w:adjustRightInd w:val="0"/>
        <w:snapToGrid w:val="0"/>
        <w:spacing w:line="400" w:lineRule="exact"/>
        <w:ind w:left="840" w:hanging="840" w:hangingChars="400"/>
        <w:jc w:val="left"/>
        <w:rPr>
          <w:rFonts w:ascii="宋体" w:hAnsi="宋体"/>
          <w:snapToGrid w:val="0"/>
          <w:kern w:val="0"/>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2、承包范围</w:t>
      </w:r>
    </w:p>
    <w:p>
      <w:pPr>
        <w:adjustRightInd w:val="0"/>
        <w:snapToGrid w:val="0"/>
        <w:spacing w:line="400" w:lineRule="exact"/>
        <w:ind w:left="630" w:leftChars="300" w:firstLine="0" w:firstLineChars="0"/>
        <w:jc w:val="left"/>
        <w:rPr>
          <w:rFonts w:hint="eastAsia" w:ascii="宋体" w:hAnsi="宋体" w:eastAsia="宋体"/>
          <w:color w:val="000000" w:themeColor="text1"/>
          <w:szCs w:val="21"/>
          <w:lang w:eastAsia="zh-CN"/>
        </w:rPr>
      </w:pPr>
      <w:r>
        <w:rPr>
          <w:rFonts w:hint="eastAsia" w:ascii="宋体" w:hAnsi="宋体"/>
          <w:color w:val="000000" w:themeColor="text1"/>
          <w:szCs w:val="21"/>
        </w:rPr>
        <w:t xml:space="preserve"> </w:t>
      </w:r>
      <w:r>
        <w:rPr>
          <w:rFonts w:hint="eastAsia" w:ascii="宋体" w:hAnsi="宋体"/>
          <w:color w:val="000000" w:themeColor="text1"/>
          <w:szCs w:val="21"/>
          <w:lang w:eastAsia="zh-CN"/>
        </w:rPr>
        <w:t>按照招标单位确认的施工图纸、设计说明、工程规范的要求以及图纸会审记录、有关变更文件、资料及所包含的内容，完成上林观湖苑项目二期总承包的施工、材料采购、施工管理及分包工程的协调统筹管理、负责协调各分包商的管理工作、履行总包的责任与义务、竣工验收、质量保修等，其中包含：土建工程、电气工程、给排水工程、防雷工程、其他专业配套工作、总包单位其他相关工作。</w:t>
      </w:r>
    </w:p>
    <w:p>
      <w:pPr>
        <w:adjustRightInd w:val="0"/>
        <w:snapToGrid w:val="0"/>
        <w:spacing w:line="400" w:lineRule="exact"/>
        <w:ind w:left="843" w:hanging="840" w:hangingChars="400"/>
        <w:rPr>
          <w:rFonts w:ascii="黑体" w:hAnsi="宋体" w:eastAsia="黑体"/>
          <w:b/>
          <w:bCs/>
          <w:szCs w:val="21"/>
        </w:rPr>
      </w:pPr>
      <w:r>
        <w:rPr>
          <w:rFonts w:hint="eastAsia" w:ascii="宋体" w:hAnsi="宋体" w:eastAsia="黑体"/>
          <w:b/>
          <w:bCs/>
          <w:szCs w:val="21"/>
        </w:rPr>
        <w:t>3、工</w:t>
      </w:r>
      <w:r>
        <w:rPr>
          <w:rFonts w:hint="eastAsia" w:ascii="黑体" w:hAnsi="宋体" w:eastAsia="黑体"/>
          <w:b/>
          <w:bCs/>
          <w:szCs w:val="21"/>
        </w:rPr>
        <w:t>程承包方式</w:t>
      </w:r>
    </w:p>
    <w:p>
      <w:pPr>
        <w:pStyle w:val="64"/>
        <w:tabs>
          <w:tab w:val="left" w:pos="1134"/>
        </w:tabs>
        <w:adjustRightInd w:val="0"/>
        <w:snapToGrid w:val="0"/>
        <w:spacing w:after="0" w:line="400" w:lineRule="exact"/>
        <w:ind w:left="850" w:leftChars="0" w:hanging="850" w:hangingChars="405"/>
        <w:jc w:val="left"/>
        <w:outlineLvl w:val="1"/>
        <w:rPr>
          <w:rFonts w:ascii="宋体" w:hAnsi="宋体"/>
          <w:sz w:val="21"/>
          <w:szCs w:val="21"/>
        </w:rPr>
      </w:pPr>
      <w:r>
        <w:rPr>
          <w:rFonts w:hint="eastAsia" w:ascii="宋体" w:hAnsi="宋体"/>
          <w:sz w:val="21"/>
          <w:szCs w:val="21"/>
        </w:rPr>
        <w:t>3.1 本工程按施工图纸范围以固定总价包干的形式承包，该范围包含本工程施工、报验、直至竣工并通过验收的全部工作及手续。乙方包工、包料、包运输、包损耗、包装卸、包成品保护及半成品保护费用、包验收；包总承包管理及配合费、包措施费、包施工用水电费、包利润、包税金等工程所需的所有费用；包所有分包单位资料的管理及统一备案（含收集、整理、归档等）；包质量、包工期、包安全、包风险、包与相关单位协调、包安全文明施工、包保修（含保修期内因产品质量问题引起的维修和更换）、包保险费、包出具相应增值税专用发票、包按政府规定乙方应负责办理的手续和缴纳的所有费用以及对与工程相关的一切费用的形式进行承包。</w:t>
      </w:r>
    </w:p>
    <w:p>
      <w:pPr>
        <w:pStyle w:val="64"/>
        <w:adjustRightInd w:val="0"/>
        <w:snapToGrid w:val="0"/>
        <w:spacing w:after="0" w:line="400" w:lineRule="exact"/>
        <w:ind w:left="840" w:leftChars="0" w:hanging="840" w:hangingChars="400"/>
        <w:jc w:val="left"/>
        <w:outlineLvl w:val="1"/>
        <w:rPr>
          <w:rFonts w:ascii="宋体" w:hAnsi="宋体"/>
          <w:szCs w:val="21"/>
        </w:rPr>
      </w:pPr>
      <w:r>
        <w:rPr>
          <w:rFonts w:hint="eastAsia" w:ascii="宋体" w:hAnsi="宋体"/>
          <w:sz w:val="21"/>
          <w:szCs w:val="21"/>
        </w:rPr>
        <w:t>3.2     乙方（含各分包单位）应根据《关于全市征收新型墙体材料专项基金的通知》（佛府办[2011]188号）要求使用新型墙体材料（若行政部门要求）。</w:t>
      </w:r>
    </w:p>
    <w:p>
      <w:pPr>
        <w:adjustRightInd w:val="0"/>
        <w:spacing w:line="400" w:lineRule="exact"/>
        <w:ind w:left="840" w:hanging="840" w:hangingChars="400"/>
        <w:contextualSpacing/>
        <w:rPr>
          <w:rFonts w:ascii="宋体" w:hAnsi="宋体"/>
          <w:szCs w:val="21"/>
        </w:rPr>
      </w:pPr>
      <w:r>
        <w:rPr>
          <w:rFonts w:hint="eastAsia" w:ascii="宋体" w:hAnsi="宋体"/>
          <w:szCs w:val="21"/>
        </w:rPr>
        <w:t>3.3     本合同签订后，乙方应按本合同要求的全部内容进行施工。在施工期间，其它需要由乙方承包施工的项目，按甲方的书面通知计费和付款依本合同约定执行，总工期不变。</w:t>
      </w:r>
    </w:p>
    <w:p>
      <w:pPr>
        <w:adjustRightInd w:val="0"/>
        <w:snapToGrid w:val="0"/>
        <w:spacing w:line="400" w:lineRule="exact"/>
        <w:ind w:left="843" w:hanging="840" w:hangingChars="400"/>
        <w:rPr>
          <w:rFonts w:ascii="黑体" w:hAnsi="宋体" w:eastAsia="黑体"/>
          <w:b/>
          <w:bCs/>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4、合同工期</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4.1     本工程总工期为</w:t>
      </w:r>
      <w:r>
        <w:rPr>
          <w:rFonts w:hint="eastAsia" w:ascii="宋体" w:hAnsi="宋体"/>
          <w:sz w:val="21"/>
          <w:szCs w:val="20"/>
          <w:lang w:val="en-US" w:eastAsia="zh-CN"/>
        </w:rPr>
        <w:t>365天</w:t>
      </w:r>
      <w:r>
        <w:rPr>
          <w:rFonts w:ascii="宋体" w:hAnsi="宋体"/>
          <w:sz w:val="21"/>
          <w:szCs w:val="21"/>
        </w:rPr>
        <w:t>(系指日历</w:t>
      </w:r>
      <w:r>
        <w:rPr>
          <w:rFonts w:hint="eastAsia" w:ascii="宋体" w:hAnsi="宋体"/>
          <w:sz w:val="21"/>
          <w:szCs w:val="21"/>
        </w:rPr>
        <w:t>天，下同</w:t>
      </w:r>
      <w:r>
        <w:rPr>
          <w:rFonts w:ascii="宋体" w:hAnsi="宋体"/>
          <w:sz w:val="21"/>
          <w:szCs w:val="21"/>
        </w:rPr>
        <w:t>)</w:t>
      </w:r>
      <w:r>
        <w:rPr>
          <w:rFonts w:hint="eastAsia" w:ascii="宋体" w:hAnsi="宋体"/>
          <w:sz w:val="21"/>
          <w:szCs w:val="21"/>
        </w:rPr>
        <w:t>。</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 xml:space="preserve">4.2     开工日期暂定为2018 年  </w:t>
      </w:r>
      <w:r>
        <w:rPr>
          <w:rFonts w:hint="eastAsia" w:ascii="宋体" w:hAnsi="宋体"/>
          <w:sz w:val="21"/>
          <w:szCs w:val="21"/>
          <w:lang w:val="en-US" w:eastAsia="zh-CN"/>
        </w:rPr>
        <w:t xml:space="preserve">  </w:t>
      </w:r>
      <w:r>
        <w:rPr>
          <w:rFonts w:hint="eastAsia" w:ascii="宋体" w:hAnsi="宋体"/>
          <w:sz w:val="21"/>
          <w:szCs w:val="21"/>
        </w:rPr>
        <w:t xml:space="preserve"> 月</w:t>
      </w:r>
      <w:r>
        <w:rPr>
          <w:rFonts w:hint="eastAsia" w:ascii="宋体" w:hAnsi="宋体"/>
          <w:sz w:val="21"/>
          <w:szCs w:val="21"/>
          <w:lang w:val="en-US" w:eastAsia="zh-CN"/>
        </w:rPr>
        <w:t xml:space="preserve">  </w:t>
      </w:r>
      <w:r>
        <w:rPr>
          <w:rFonts w:hint="eastAsia" w:ascii="宋体" w:hAnsi="宋体"/>
          <w:sz w:val="21"/>
          <w:szCs w:val="21"/>
        </w:rPr>
        <w:t>日。竣工日期暂定为2018 年</w:t>
      </w:r>
      <w:r>
        <w:rPr>
          <w:rFonts w:hint="eastAsia" w:ascii="宋体" w:hAnsi="宋体"/>
          <w:sz w:val="21"/>
          <w:szCs w:val="21"/>
          <w:lang w:val="en-US" w:eastAsia="zh-CN"/>
        </w:rPr>
        <w:t xml:space="preserve">   </w:t>
      </w:r>
      <w:r>
        <w:rPr>
          <w:rFonts w:hint="eastAsia" w:ascii="宋体" w:hAnsi="宋体"/>
          <w:sz w:val="21"/>
          <w:szCs w:val="21"/>
        </w:rPr>
        <w:t>月</w:t>
      </w:r>
      <w:r>
        <w:rPr>
          <w:rFonts w:hint="eastAsia" w:ascii="宋体" w:hAnsi="宋体"/>
          <w:sz w:val="21"/>
          <w:szCs w:val="21"/>
          <w:lang w:val="en-US" w:eastAsia="zh-CN"/>
        </w:rPr>
        <w:t xml:space="preserve">  </w:t>
      </w:r>
      <w:r>
        <w:rPr>
          <w:rFonts w:hint="eastAsia" w:ascii="宋体" w:hAnsi="宋体"/>
          <w:sz w:val="21"/>
          <w:szCs w:val="21"/>
        </w:rPr>
        <w:t xml:space="preserve">日。竣工备案日期为2018 年 </w:t>
      </w:r>
      <w:r>
        <w:rPr>
          <w:rFonts w:hint="eastAsia" w:ascii="宋体" w:hAnsi="宋体"/>
          <w:sz w:val="21"/>
          <w:szCs w:val="21"/>
          <w:lang w:val="en-US" w:eastAsia="zh-CN"/>
        </w:rPr>
        <w:t xml:space="preserve">  </w:t>
      </w:r>
      <w:r>
        <w:rPr>
          <w:rFonts w:hint="eastAsia" w:ascii="宋体" w:hAnsi="宋体"/>
          <w:sz w:val="21"/>
          <w:szCs w:val="21"/>
        </w:rPr>
        <w:t xml:space="preserve"> 月 </w:t>
      </w:r>
      <w:r>
        <w:rPr>
          <w:rFonts w:hint="eastAsia" w:ascii="宋体" w:hAnsi="宋体"/>
          <w:sz w:val="21"/>
          <w:szCs w:val="21"/>
          <w:lang w:val="en-US" w:eastAsia="zh-CN"/>
        </w:rPr>
        <w:t xml:space="preserve">  </w:t>
      </w:r>
      <w:r>
        <w:rPr>
          <w:rFonts w:hint="eastAsia" w:ascii="宋体" w:hAnsi="宋体"/>
          <w:sz w:val="21"/>
          <w:szCs w:val="21"/>
        </w:rPr>
        <w:t xml:space="preserve">  日前。具体开工日期以甲方签发的开工通知书为准。若开工日期提前或推迟，则节点工期时间相应提前或顺延（施工节点工期不调整）。</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4.3     本工程主要施工节点工期如下：</w:t>
      </w:r>
    </w:p>
    <w:tbl>
      <w:tblPr>
        <w:tblStyle w:val="92"/>
        <w:tblW w:w="8422" w:type="dxa"/>
        <w:tblInd w:w="191" w:type="dxa"/>
        <w:tblLayout w:type="fixed"/>
        <w:tblCellMar>
          <w:top w:w="0" w:type="dxa"/>
          <w:left w:w="108" w:type="dxa"/>
          <w:bottom w:w="0" w:type="dxa"/>
          <w:right w:w="108" w:type="dxa"/>
        </w:tblCellMar>
      </w:tblPr>
      <w:tblGrid>
        <w:gridCol w:w="636"/>
        <w:gridCol w:w="2301"/>
        <w:gridCol w:w="1165"/>
        <w:gridCol w:w="1266"/>
        <w:gridCol w:w="2106"/>
        <w:gridCol w:w="948"/>
      </w:tblGrid>
      <w:tr>
        <w:tblPrEx>
          <w:tblLayout w:type="fixed"/>
          <w:tblCellMar>
            <w:top w:w="0" w:type="dxa"/>
            <w:left w:w="108" w:type="dxa"/>
            <w:bottom w:w="0" w:type="dxa"/>
            <w:right w:w="108" w:type="dxa"/>
          </w:tblCellMar>
        </w:tblPrEx>
        <w:trPr>
          <w:trHeight w:val="324" w:hRule="atLeast"/>
        </w:trPr>
        <w:tc>
          <w:tcPr>
            <w:tcW w:w="8422"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主要施工节点工期</w:t>
            </w: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序号</w:t>
            </w:r>
          </w:p>
        </w:tc>
        <w:tc>
          <w:tcPr>
            <w:tcW w:w="2301"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节点名称</w:t>
            </w:r>
          </w:p>
        </w:tc>
        <w:tc>
          <w:tcPr>
            <w:tcW w:w="1165"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节点工期</w:t>
            </w:r>
          </w:p>
        </w:tc>
        <w:tc>
          <w:tcPr>
            <w:tcW w:w="1266"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计划开始时间</w:t>
            </w:r>
          </w:p>
        </w:tc>
        <w:tc>
          <w:tcPr>
            <w:tcW w:w="2106"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计划完成时间</w:t>
            </w:r>
          </w:p>
        </w:tc>
        <w:tc>
          <w:tcPr>
            <w:tcW w:w="948"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备注</w:t>
            </w: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1</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桩基础施工及检测完成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3"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2</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基础施工至正负零</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3</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完成结构封顶</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4</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内外墙砌砖完成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5</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内墙抹灰完成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6</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外墙抹灰完成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7</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外墙砖施工、脚手架拆除</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515" w:hRule="atLeast"/>
        </w:trPr>
        <w:tc>
          <w:tcPr>
            <w:tcW w:w="63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8</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工程竣工</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2265" w:hRule="atLeast"/>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9</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工程竣工验收合格（即：办理完成竣工验收手续并取得《房屋建筑工程和市政基础设施工程竣工验收备案表》）</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bl>
    <w:p>
      <w:pPr>
        <w:pStyle w:val="64"/>
        <w:adjustRightInd w:val="0"/>
        <w:snapToGrid w:val="0"/>
        <w:spacing w:after="0"/>
        <w:ind w:left="0" w:leftChars="0"/>
        <w:jc w:val="left"/>
        <w:outlineLvl w:val="1"/>
        <w:rPr>
          <w:rFonts w:ascii="宋体" w:hAnsi="宋体"/>
          <w:b/>
          <w:sz w:val="21"/>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5、质量标准</w:t>
      </w:r>
    </w:p>
    <w:p>
      <w:pPr>
        <w:pStyle w:val="64"/>
        <w:adjustRightInd w:val="0"/>
        <w:snapToGrid w:val="0"/>
        <w:spacing w:after="0" w:line="400" w:lineRule="exact"/>
        <w:ind w:left="840" w:leftChars="400"/>
        <w:outlineLvl w:val="1"/>
        <w:rPr>
          <w:rFonts w:ascii="宋体" w:hAnsi="宋体"/>
          <w:sz w:val="21"/>
          <w:szCs w:val="21"/>
        </w:rPr>
      </w:pPr>
      <w:r>
        <w:rPr>
          <w:rFonts w:hint="eastAsia" w:ascii="宋体" w:hAnsi="宋体"/>
          <w:sz w:val="21"/>
          <w:szCs w:val="21"/>
        </w:rPr>
        <w:t>乙方保证其所完成的工程质量等级不低于《建筑工程施工质量验收统一标准》（</w:t>
      </w:r>
      <w:r>
        <w:rPr>
          <w:rFonts w:ascii="宋体" w:hAnsi="宋体"/>
          <w:sz w:val="21"/>
          <w:szCs w:val="21"/>
        </w:rPr>
        <w:t>GB 50300-2001</w:t>
      </w:r>
      <w:r>
        <w:rPr>
          <w:rFonts w:hint="eastAsia" w:ascii="宋体" w:hAnsi="宋体"/>
          <w:sz w:val="21"/>
          <w:szCs w:val="21"/>
        </w:rPr>
        <w:t>）、《建筑装饰装修工程质量验收规范》（</w:t>
      </w:r>
      <w:r>
        <w:rPr>
          <w:rFonts w:ascii="宋体" w:hAnsi="宋体"/>
          <w:sz w:val="21"/>
          <w:szCs w:val="21"/>
        </w:rPr>
        <w:t>GB 50210-2001</w:t>
      </w:r>
      <w:r>
        <w:rPr>
          <w:rFonts w:hint="eastAsia" w:ascii="宋体" w:hAnsi="宋体"/>
          <w:sz w:val="21"/>
          <w:szCs w:val="21"/>
        </w:rPr>
        <w:t>）及《建筑工程施工质量评价标准》（</w:t>
      </w:r>
      <w:r>
        <w:rPr>
          <w:rFonts w:ascii="宋体" w:hAnsi="宋体"/>
          <w:sz w:val="21"/>
          <w:szCs w:val="21"/>
        </w:rPr>
        <w:t>GB/T50375-2006</w:t>
      </w:r>
      <w:r>
        <w:rPr>
          <w:rFonts w:hint="eastAsia" w:ascii="宋体" w:hAnsi="宋体"/>
          <w:sz w:val="21"/>
          <w:szCs w:val="21"/>
        </w:rPr>
        <w:t>）及与现行施工验收规范规定的合格等级。</w:t>
      </w:r>
    </w:p>
    <w:p>
      <w:pPr>
        <w:pStyle w:val="64"/>
        <w:adjustRightInd w:val="0"/>
        <w:snapToGrid w:val="0"/>
        <w:spacing w:after="0" w:line="400" w:lineRule="exact"/>
        <w:ind w:left="840" w:leftChars="0" w:hanging="840" w:hangingChars="400"/>
        <w:jc w:val="left"/>
        <w:outlineLvl w:val="1"/>
        <w:rPr>
          <w:rFonts w:ascii="宋体" w:hAnsi="宋体"/>
          <w:b/>
          <w:sz w:val="21"/>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6、合同价款</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     本合同包干总价为：￥</w:t>
      </w:r>
      <w:r>
        <w:rPr>
          <w:rFonts w:ascii="宋体" w:hAnsi="宋体"/>
          <w:sz w:val="21"/>
          <w:szCs w:val="21"/>
        </w:rPr>
        <w:t>元</w:t>
      </w:r>
      <w:r>
        <w:rPr>
          <w:rFonts w:hint="eastAsia" w:ascii="宋体" w:hAnsi="宋体"/>
          <w:sz w:val="21"/>
          <w:szCs w:val="21"/>
        </w:rPr>
        <w:t>，</w:t>
      </w:r>
      <w:r>
        <w:rPr>
          <w:rFonts w:ascii="宋体" w:hAnsi="宋体"/>
          <w:sz w:val="21"/>
          <w:szCs w:val="21"/>
        </w:rPr>
        <w:t>大写：</w:t>
      </w:r>
      <w:r>
        <w:rPr>
          <w:rFonts w:hint="eastAsia" w:ascii="宋体" w:hAnsi="宋体"/>
          <w:sz w:val="21"/>
          <w:szCs w:val="21"/>
        </w:rPr>
        <w:t>人民币元整（不含税价款为￥元，增值税为￥元）。工程价款金额明细详见本</w:t>
      </w:r>
      <w:r>
        <w:rPr>
          <w:rFonts w:hint="eastAsia" w:ascii="宋体" w:hAnsi="宋体"/>
          <w:sz w:val="21"/>
          <w:szCs w:val="20"/>
        </w:rPr>
        <w:t>合同附件一</w:t>
      </w:r>
      <w:r>
        <w:rPr>
          <w:rFonts w:hint="eastAsia" w:ascii="宋体" w:hAnsi="宋体"/>
          <w:sz w:val="21"/>
          <w:szCs w:val="21"/>
        </w:rPr>
        <w:t>《工程量清单》，固定包干总价已包含本工程施工、报验、直至竣工并通过验收的全部工作及手续所发生的全部费用。乙方应按本合同协议书第二、三条约定的工程承包范围及方式完成全部施工工作；除以下因素外结算时将不做调整：</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6.1.1   甲方因功能性调整而发生的设计变更及签证；</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6.1.2   合同签订后，政府主管部门颁布的强制性规范或政策性文件引起的设计变更及签证；</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6.1.3   施工过程中，经甲方同意的设计优化产生的设计变更及签证。</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6.2     除指定分包单位使用的水电费用外，乙方不再收取指定分包单位的任何费用。</w:t>
      </w:r>
    </w:p>
    <w:p>
      <w:pPr>
        <w:autoSpaceDE w:val="0"/>
        <w:autoSpaceDN w:val="0"/>
        <w:adjustRightInd w:val="0"/>
        <w:snapToGrid w:val="0"/>
        <w:spacing w:line="400" w:lineRule="exact"/>
        <w:ind w:left="840" w:hanging="840" w:hangingChars="400"/>
        <w:jc w:val="left"/>
        <w:rPr>
          <w:rFonts w:ascii="宋体" w:hAnsi="宋体"/>
          <w:szCs w:val="21"/>
        </w:rPr>
      </w:pPr>
      <w:r>
        <w:rPr>
          <w:rFonts w:hint="eastAsia" w:ascii="宋体" w:hAnsi="宋体"/>
          <w:szCs w:val="21"/>
        </w:rPr>
        <w:t>6.3     合同价款是按招标清单、承包范围、询价函、合同条款、现场条件等由乙方充分考虑了各项费用后确定的，乙方应按政府相关部门规定送检材料，本合同附件一《工程量清单》中综合单价已包含材料送检费用。</w:t>
      </w:r>
    </w:p>
    <w:p>
      <w:pPr>
        <w:pStyle w:val="64"/>
        <w:adjustRightInd w:val="0"/>
        <w:snapToGrid w:val="0"/>
        <w:spacing w:after="0" w:line="400" w:lineRule="exact"/>
        <w:ind w:left="840" w:leftChars="0" w:hanging="840" w:hangingChars="400"/>
        <w:jc w:val="left"/>
        <w:outlineLvl w:val="1"/>
        <w:rPr>
          <w:rFonts w:ascii="宋体" w:hAnsi="宋体"/>
          <w:snapToGrid w:val="0"/>
          <w:kern w:val="0"/>
          <w:sz w:val="21"/>
          <w:szCs w:val="21"/>
        </w:rPr>
      </w:pPr>
      <w:r>
        <w:rPr>
          <w:rFonts w:hint="eastAsia" w:ascii="宋体" w:hAnsi="宋体"/>
          <w:sz w:val="21"/>
          <w:szCs w:val="21"/>
        </w:rPr>
        <w:t xml:space="preserve">6.4     </w:t>
      </w:r>
      <w:r>
        <w:rPr>
          <w:rFonts w:hint="eastAsia" w:ascii="宋体" w:hAnsi="宋体"/>
          <w:snapToGrid w:val="0"/>
          <w:kern w:val="0"/>
          <w:sz w:val="21"/>
          <w:szCs w:val="21"/>
        </w:rPr>
        <w:t>乙方在签订本合同前已对本工程的全部图纸、技术说明、《工程量清单》、招标文件、 合同、技术说明、现场状况、工程所在地周围环境、交通道路、夜间赶工及价格波动等风险和情况均已详细研究明了，</w:t>
      </w:r>
      <w:r>
        <w:rPr>
          <w:rFonts w:ascii="宋体" w:hAnsi="宋体"/>
          <w:sz w:val="21"/>
          <w:szCs w:val="21"/>
        </w:rPr>
        <w:t>并已考虑施工技术措施、安全维护、文明工地施工措施等因素，</w:t>
      </w:r>
      <w:r>
        <w:rPr>
          <w:rFonts w:hint="eastAsia" w:ascii="宋体" w:hAnsi="宋体"/>
          <w:sz w:val="21"/>
          <w:szCs w:val="21"/>
        </w:rPr>
        <w:t>为此乙方同意按本合同相关计价条款办法计价</w:t>
      </w:r>
      <w:r>
        <w:rPr>
          <w:rFonts w:hint="eastAsia" w:ascii="宋体" w:hAnsi="宋体"/>
          <w:szCs w:val="21"/>
        </w:rPr>
        <w:t>；</w:t>
      </w:r>
      <w:r>
        <w:rPr>
          <w:rFonts w:hint="eastAsia" w:ascii="宋体" w:hAnsi="宋体"/>
          <w:snapToGrid w:val="0"/>
          <w:kern w:val="0"/>
          <w:sz w:val="21"/>
          <w:szCs w:val="21"/>
        </w:rPr>
        <w:t>同时，乙方同意并确认，本合同附件一《工程量清单》中的综合单价，并在本工程结算时一律不予调整。</w:t>
      </w:r>
    </w:p>
    <w:p>
      <w:pPr>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6.5     按国家及地方政府规定由乙方缴纳的各种税收及其他费用已包含在本合同工程价款内，由乙方自行向政府相关部门缴纳。</w:t>
      </w:r>
    </w:p>
    <w:p>
      <w:pPr>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     合同签订后发生因本条第6.1.1、6.1.2、6.1.3款的变更、签证或新增加工作内容的，其变更结算办法如下：</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6.6.1   合同《工程量清单》中有的项目，按照《工程量清单》报价进行结算。</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6.6.2   合同《工程量清单》中有相类似的项目，按照《工程量清单》报价换算进行结算。</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6.6.3   合同《工程量清单》中没有或没有相类似的项目，按照2010年《广东省建筑与装饰工程综合定额》、《广东省安装工程综合定额》，按二类地区(不计取措施费及预算包干费)及合同签订时的收费标准和佛山市南海区造价部门相关规定进行计价，费率有上下限的取中值，税前下浮率15%作为结算价；材料价格参照佛山市南海地区施工同期（季度）材料信息价（信息价没有的材料价格则乙方报甲方审核定价）。</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6.7     合同签订后因发生本条第6.1.1、6.1.2、6.1.3款的变更、签证或新增加工作内容必须按签证要求时间完成验收，最终结算完后一并支付。</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6.8     措施项目费在结算时不做调整。</w:t>
      </w:r>
    </w:p>
    <w:p>
      <w:pPr>
        <w:spacing w:line="360" w:lineRule="exact"/>
        <w:ind w:left="640" w:hanging="640"/>
        <w:rPr>
          <w:rFonts w:ascii="宋体" w:hAnsi="宋体"/>
          <w:szCs w:val="21"/>
        </w:rPr>
      </w:pPr>
      <w:r>
        <w:rPr>
          <w:rFonts w:hint="eastAsia" w:ascii="宋体" w:hAnsi="宋体"/>
          <w:snapToGrid w:val="0"/>
          <w:kern w:val="0"/>
          <w:szCs w:val="21"/>
        </w:rPr>
        <w:t>6.9     合同签订后如甲方因功能性调整而发出的设计变更或方案优化，书面通知乙方取消的工程量，结算时需扣除取消该部分的工程造价，单价按合同附件一《工程量清单》中相应的综合单价执行，结算时不另行增加其它费用。</w:t>
      </w:r>
    </w:p>
    <w:p>
      <w:pPr>
        <w:adjustRightInd w:val="0"/>
        <w:snapToGrid w:val="0"/>
        <w:spacing w:line="400" w:lineRule="exact"/>
        <w:ind w:left="843" w:hanging="840" w:hangingChars="400"/>
        <w:jc w:val="left"/>
        <w:rPr>
          <w:rFonts w:ascii="黑体" w:hAnsi="宋体" w:eastAsia="黑体"/>
          <w:b/>
          <w:bCs/>
          <w:szCs w:val="21"/>
        </w:rPr>
      </w:pPr>
      <w:r>
        <w:rPr>
          <w:rFonts w:hint="eastAsia" w:ascii="黑体" w:hAnsi="宋体" w:eastAsia="黑体"/>
          <w:b/>
          <w:bCs/>
          <w:szCs w:val="21"/>
        </w:rPr>
        <w:t>7、组成合同的文件</w:t>
      </w:r>
    </w:p>
    <w:p>
      <w:pPr>
        <w:pStyle w:val="42"/>
        <w:tabs>
          <w:tab w:val="left" w:pos="1260"/>
        </w:tabs>
        <w:adjustRightInd w:val="0"/>
        <w:snapToGrid w:val="0"/>
        <w:spacing w:line="400" w:lineRule="exact"/>
        <w:ind w:left="840" w:leftChars="400"/>
        <w:jc w:val="left"/>
        <w:rPr>
          <w:rFonts w:hAnsi="宋体"/>
          <w:b/>
          <w:bCs/>
          <w:szCs w:val="21"/>
        </w:rPr>
      </w:pPr>
      <w:r>
        <w:rPr>
          <w:rFonts w:hint="eastAsia" w:hAnsi="宋体"/>
          <w:szCs w:val="21"/>
        </w:rPr>
        <w:t>组成本合同的文件及优先解释顺序与本合同专用条款第</w:t>
      </w:r>
      <w:r>
        <w:rPr>
          <w:rFonts w:hAnsi="宋体"/>
          <w:szCs w:val="21"/>
        </w:rPr>
        <w:t>2.2款</w:t>
      </w:r>
      <w:r>
        <w:rPr>
          <w:rFonts w:hint="eastAsia" w:hAnsi="宋体"/>
          <w:szCs w:val="21"/>
        </w:rPr>
        <w:t>的约定一致。</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8、词语含义</w:t>
      </w:r>
    </w:p>
    <w:p>
      <w:pPr>
        <w:pStyle w:val="42"/>
        <w:tabs>
          <w:tab w:val="left" w:pos="1260"/>
        </w:tabs>
        <w:adjustRightInd w:val="0"/>
        <w:snapToGrid w:val="0"/>
        <w:spacing w:line="400" w:lineRule="exact"/>
        <w:ind w:left="840" w:leftChars="400"/>
        <w:jc w:val="left"/>
        <w:rPr>
          <w:rFonts w:hAnsi="宋体"/>
          <w:b/>
          <w:bCs/>
          <w:szCs w:val="21"/>
        </w:rPr>
      </w:pPr>
      <w:r>
        <w:rPr>
          <w:rFonts w:hint="eastAsia" w:hAnsi="宋体"/>
          <w:szCs w:val="21"/>
        </w:rPr>
        <w:t>本协议书中有关词语含义与本合同通用条款中赋予它们的定义相同。</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9、乙方承诺</w:t>
      </w:r>
    </w:p>
    <w:p>
      <w:pPr>
        <w:pStyle w:val="42"/>
        <w:tabs>
          <w:tab w:val="left" w:pos="1260"/>
        </w:tabs>
        <w:adjustRightInd w:val="0"/>
        <w:snapToGrid w:val="0"/>
        <w:spacing w:line="400" w:lineRule="exact"/>
        <w:ind w:left="840" w:leftChars="400"/>
        <w:jc w:val="left"/>
        <w:rPr>
          <w:rFonts w:ascii="黑体" w:hAnsi="宋体" w:eastAsia="黑体"/>
          <w:b/>
          <w:bCs/>
          <w:szCs w:val="21"/>
        </w:rPr>
      </w:pPr>
      <w:r>
        <w:rPr>
          <w:rFonts w:hint="eastAsia" w:hAnsi="宋体"/>
          <w:szCs w:val="21"/>
        </w:rPr>
        <w:t>乙方向甲方承诺按本合同约定施工、竣工，并在质量保修期内承担工程质量保修责任，履行本合同所约定的全部义务。</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10、甲方承诺</w:t>
      </w:r>
    </w:p>
    <w:p>
      <w:pPr>
        <w:adjustRightInd w:val="0"/>
        <w:snapToGrid w:val="0"/>
        <w:spacing w:line="400" w:lineRule="exact"/>
        <w:ind w:left="840" w:leftChars="400"/>
        <w:jc w:val="left"/>
        <w:rPr>
          <w:rFonts w:ascii="宋体" w:hAnsi="宋体"/>
          <w:szCs w:val="21"/>
        </w:rPr>
      </w:pPr>
      <w:r>
        <w:rPr>
          <w:rFonts w:hint="eastAsia" w:ascii="宋体" w:hAnsi="宋体"/>
          <w:szCs w:val="21"/>
        </w:rPr>
        <w:t>甲方向乙方承诺按本合同约定的期限和方式支付工程价款及其他应当支付的款项，履行本合同所约定的全部义务。</w:t>
      </w:r>
    </w:p>
    <w:p>
      <w:pPr>
        <w:adjustRightInd w:val="0"/>
        <w:snapToGrid w:val="0"/>
        <w:ind w:left="843" w:hanging="840" w:hangingChars="400"/>
        <w:rPr>
          <w:rFonts w:ascii="黑体" w:hAnsi="宋体" w:eastAsia="黑体"/>
          <w:b/>
          <w:bCs/>
          <w:szCs w:val="21"/>
        </w:rPr>
      </w:pPr>
      <w:r>
        <w:rPr>
          <w:rFonts w:hint="eastAsia" w:ascii="黑体" w:hAnsi="宋体" w:eastAsia="黑体"/>
          <w:b/>
          <w:bCs/>
          <w:szCs w:val="21"/>
        </w:rPr>
        <w:t>11、合同附件</w:t>
      </w:r>
    </w:p>
    <w:p>
      <w:pPr>
        <w:adjustRightInd w:val="0"/>
        <w:snapToGrid w:val="0"/>
        <w:ind w:left="840" w:leftChars="400"/>
        <w:rPr>
          <w:rFonts w:ascii="宋体" w:hAnsi="宋体"/>
          <w:szCs w:val="21"/>
        </w:rPr>
      </w:pPr>
      <w:r>
        <w:rPr>
          <w:rFonts w:hint="eastAsia" w:ascii="宋体" w:hAnsi="宋体"/>
          <w:szCs w:val="21"/>
        </w:rPr>
        <w:t>本合同有以下附件，均构成本合同有效组成部分：</w:t>
      </w:r>
    </w:p>
    <w:p>
      <w:pPr>
        <w:adjustRightInd w:val="0"/>
        <w:snapToGrid w:val="0"/>
        <w:ind w:firstLine="840" w:firstLineChars="400"/>
        <w:rPr>
          <w:rFonts w:ascii="宋体" w:hAnsi="宋体"/>
          <w:sz w:val="24"/>
          <w:szCs w:val="20"/>
          <w:u w:val="single"/>
        </w:rPr>
      </w:pPr>
      <w:r>
        <w:rPr>
          <w:rFonts w:hint="eastAsia" w:ascii="宋体" w:hAnsi="宋体"/>
          <w:szCs w:val="21"/>
          <w:u w:val="single"/>
        </w:rPr>
        <w:t>附件一：《工程量清单》</w:t>
      </w:r>
    </w:p>
    <w:p>
      <w:pPr>
        <w:adjustRightInd w:val="0"/>
        <w:snapToGrid w:val="0"/>
        <w:ind w:firstLine="840" w:firstLineChars="400"/>
        <w:rPr>
          <w:rFonts w:ascii="宋体" w:hAnsi="宋体"/>
          <w:szCs w:val="21"/>
          <w:u w:val="single"/>
        </w:rPr>
      </w:pPr>
      <w:r>
        <w:rPr>
          <w:rFonts w:hint="eastAsia" w:ascii="宋体" w:hAnsi="宋体"/>
          <w:szCs w:val="21"/>
          <w:u w:val="single"/>
        </w:rPr>
        <w:t>附件二：《施工总承包单位为各项专业承包商所提供的配合服务及其责任》</w:t>
      </w:r>
    </w:p>
    <w:p>
      <w:pPr>
        <w:adjustRightInd w:val="0"/>
        <w:snapToGrid w:val="0"/>
        <w:ind w:firstLine="840" w:firstLineChars="400"/>
        <w:rPr>
          <w:rFonts w:ascii="宋体" w:hAnsi="宋体"/>
          <w:szCs w:val="21"/>
          <w:u w:val="single"/>
        </w:rPr>
      </w:pPr>
      <w:r>
        <w:rPr>
          <w:rFonts w:hint="eastAsia" w:ascii="宋体" w:hAnsi="宋体"/>
          <w:szCs w:val="21"/>
          <w:u w:val="single"/>
        </w:rPr>
        <w:t>附件三：《工程管理协议》</w:t>
      </w:r>
    </w:p>
    <w:p>
      <w:pPr>
        <w:adjustRightInd w:val="0"/>
        <w:snapToGrid w:val="0"/>
        <w:ind w:firstLine="840" w:firstLineChars="400"/>
        <w:rPr>
          <w:rFonts w:ascii="宋体" w:hAnsi="宋体"/>
          <w:szCs w:val="21"/>
          <w:u w:val="single"/>
        </w:rPr>
      </w:pPr>
      <w:r>
        <w:rPr>
          <w:rFonts w:hint="eastAsia" w:ascii="宋体" w:hAnsi="宋体"/>
          <w:szCs w:val="21"/>
          <w:u w:val="single"/>
        </w:rPr>
        <w:t>附件四：《施工现场安全文明管理规定》</w:t>
      </w:r>
    </w:p>
    <w:p>
      <w:pPr>
        <w:adjustRightInd w:val="0"/>
        <w:snapToGrid w:val="0"/>
        <w:ind w:firstLine="840" w:firstLineChars="400"/>
        <w:rPr>
          <w:rFonts w:ascii="宋体" w:hAnsi="宋体"/>
          <w:szCs w:val="21"/>
          <w:u w:val="single"/>
        </w:rPr>
      </w:pPr>
      <w:r>
        <w:rPr>
          <w:rFonts w:hint="eastAsia" w:ascii="宋体" w:hAnsi="宋体"/>
          <w:szCs w:val="21"/>
          <w:u w:val="single"/>
        </w:rPr>
        <w:t>附件五：《工程施工管理条例》</w:t>
      </w:r>
    </w:p>
    <w:p>
      <w:pPr>
        <w:adjustRightInd w:val="0"/>
        <w:snapToGrid w:val="0"/>
        <w:ind w:firstLine="840" w:firstLineChars="400"/>
        <w:rPr>
          <w:rFonts w:ascii="宋体" w:hAnsi="宋体"/>
          <w:szCs w:val="21"/>
          <w:u w:val="single"/>
        </w:rPr>
      </w:pPr>
      <w:r>
        <w:rPr>
          <w:rFonts w:hint="eastAsia" w:ascii="宋体" w:hAnsi="宋体"/>
          <w:szCs w:val="21"/>
          <w:u w:val="single"/>
        </w:rPr>
        <w:t>附件六：《建筑施工安全检查评分汇总表》</w:t>
      </w:r>
    </w:p>
    <w:p>
      <w:pPr>
        <w:adjustRightInd w:val="0"/>
        <w:snapToGrid w:val="0"/>
        <w:ind w:firstLine="840" w:firstLineChars="400"/>
        <w:rPr>
          <w:rFonts w:ascii="宋体" w:hAnsi="宋体"/>
          <w:szCs w:val="21"/>
          <w:u w:val="single"/>
        </w:rPr>
      </w:pPr>
      <w:r>
        <w:rPr>
          <w:rFonts w:hint="eastAsia" w:ascii="宋体" w:hAnsi="宋体"/>
          <w:szCs w:val="21"/>
          <w:u w:val="single"/>
        </w:rPr>
        <w:t>附件七：《工程质量保修书》</w:t>
      </w:r>
    </w:p>
    <w:p>
      <w:pPr>
        <w:adjustRightInd w:val="0"/>
        <w:snapToGrid w:val="0"/>
        <w:ind w:firstLine="840" w:firstLineChars="400"/>
        <w:rPr>
          <w:rFonts w:ascii="宋体" w:hAnsi="宋体"/>
          <w:szCs w:val="21"/>
          <w:u w:val="single"/>
        </w:rPr>
      </w:pPr>
      <w:r>
        <w:rPr>
          <w:rFonts w:hint="eastAsia" w:ascii="宋体" w:hAnsi="宋体"/>
          <w:szCs w:val="21"/>
          <w:u w:val="single"/>
        </w:rPr>
        <w:t>附件八：《廉政合同》</w:t>
      </w:r>
    </w:p>
    <w:p>
      <w:pPr>
        <w:adjustRightInd w:val="0"/>
        <w:snapToGrid w:val="0"/>
        <w:ind w:firstLine="840" w:firstLineChars="400"/>
        <w:rPr>
          <w:rFonts w:ascii="宋体" w:hAnsi="宋体"/>
          <w:snapToGrid w:val="0"/>
          <w:kern w:val="0"/>
          <w:szCs w:val="21"/>
          <w:u w:val="single"/>
        </w:rPr>
      </w:pPr>
      <w:r>
        <w:rPr>
          <w:rFonts w:hint="eastAsia" w:ascii="宋体" w:hAnsi="宋体"/>
          <w:szCs w:val="21"/>
          <w:u w:val="single"/>
        </w:rPr>
        <w:t>附件九：</w:t>
      </w:r>
      <w:r>
        <w:rPr>
          <w:rFonts w:hint="eastAsia" w:ascii="宋体" w:hAnsi="宋体"/>
          <w:snapToGrid w:val="0"/>
          <w:kern w:val="0"/>
          <w:szCs w:val="21"/>
          <w:u w:val="single"/>
        </w:rPr>
        <w:t>《造价文件快递送审指引》</w:t>
      </w:r>
    </w:p>
    <w:p>
      <w:pPr>
        <w:adjustRightInd w:val="0"/>
        <w:snapToGrid w:val="0"/>
        <w:ind w:left="843" w:hanging="840" w:hangingChars="400"/>
        <w:rPr>
          <w:rFonts w:ascii="黑体" w:hAnsi="宋体" w:eastAsia="黑体"/>
          <w:b/>
          <w:bCs/>
          <w:szCs w:val="21"/>
        </w:rPr>
      </w:pPr>
      <w:r>
        <w:rPr>
          <w:rFonts w:hint="eastAsia" w:ascii="黑体" w:hAnsi="宋体" w:eastAsia="黑体"/>
          <w:b/>
          <w:bCs/>
          <w:szCs w:val="21"/>
        </w:rPr>
        <w:t>12、合同生效</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1</w:t>
      </w:r>
      <w:r>
        <w:rPr>
          <w:rFonts w:hint="eastAsia" w:ascii="宋体" w:hAnsi="宋体"/>
          <w:szCs w:val="21"/>
        </w:rPr>
        <w:t xml:space="preserve">   本合同签订时间：年月日。</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2</w:t>
      </w:r>
      <w:r>
        <w:rPr>
          <w:rFonts w:hint="eastAsia" w:ascii="宋体" w:hAnsi="宋体"/>
          <w:szCs w:val="21"/>
        </w:rPr>
        <w:t xml:space="preserve">   本合同签订地点：</w:t>
      </w:r>
      <w:r>
        <w:rPr>
          <w:rFonts w:hint="eastAsia" w:ascii="宋体" w:hAnsi="宋体"/>
          <w:szCs w:val="21"/>
          <w:u w:val="single"/>
        </w:rPr>
        <w:t>广东省</w:t>
      </w:r>
      <w:r>
        <w:rPr>
          <w:rFonts w:hint="eastAsia" w:ascii="宋体" w:hAnsi="宋体"/>
          <w:szCs w:val="21"/>
        </w:rPr>
        <w:t>佛山市南海区</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3</w:t>
      </w:r>
      <w:r>
        <w:rPr>
          <w:rFonts w:hint="eastAsia" w:ascii="宋体" w:hAnsi="宋体"/>
          <w:szCs w:val="21"/>
        </w:rPr>
        <w:t xml:space="preserve">   甲乙双方约定本合同自双方签字盖章之日起生效。</w:t>
      </w:r>
    </w:p>
    <w:p>
      <w:pPr>
        <w:adjustRightInd w:val="0"/>
        <w:snapToGrid w:val="0"/>
        <w:ind w:left="840" w:hanging="840" w:hangingChars="400"/>
        <w:jc w:val="left"/>
        <w:rPr>
          <w:rFonts w:ascii="宋体" w:hAnsi="宋体"/>
          <w:szCs w:val="21"/>
        </w:rPr>
      </w:pPr>
    </w:p>
    <w:p>
      <w:pPr>
        <w:adjustRightInd w:val="0"/>
        <w:snapToGrid w:val="0"/>
        <w:jc w:val="left"/>
        <w:rPr>
          <w:rFonts w:ascii="宋体" w:hAnsi="宋体"/>
          <w:szCs w:val="21"/>
        </w:rPr>
      </w:pPr>
    </w:p>
    <w:p>
      <w:pPr>
        <w:adjustRightInd w:val="0"/>
        <w:snapToGrid w:val="0"/>
        <w:jc w:val="left"/>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u w:val="none"/>
          <w:lang w:val="en-US" w:eastAsia="zh-CN"/>
        </w:rPr>
        <w:t xml:space="preserve">          </w:t>
      </w:r>
      <w:r>
        <w:rPr>
          <w:rFonts w:hint="eastAsia" w:ascii="宋体" w:hAnsi="宋体"/>
          <w:szCs w:val="21"/>
        </w:rPr>
        <w:t>乙方：</w:t>
      </w:r>
    </w:p>
    <w:p>
      <w:pPr>
        <w:adjustRightInd w:val="0"/>
        <w:snapToGrid w:val="0"/>
        <w:jc w:val="left"/>
        <w:rPr>
          <w:rFonts w:ascii="宋体" w:hAnsi="宋体"/>
          <w:szCs w:val="21"/>
          <w:u w:val="single"/>
        </w:rPr>
      </w:pPr>
      <w:r>
        <w:rPr>
          <w:rFonts w:hint="eastAsia" w:ascii="宋体" w:hAnsi="宋体"/>
          <w:szCs w:val="21"/>
        </w:rPr>
        <w:t xml:space="preserve">地址：      </w:t>
      </w:r>
      <w:r>
        <w:rPr>
          <w:rFonts w:hint="eastAsia" w:ascii="宋体" w:hAnsi="宋体"/>
          <w:szCs w:val="21"/>
          <w:lang w:val="en-US" w:eastAsia="zh-CN"/>
        </w:rPr>
        <w:t xml:space="preserve">                                  </w:t>
      </w:r>
      <w:r>
        <w:rPr>
          <w:rFonts w:hint="eastAsia" w:ascii="宋体" w:hAnsi="宋体"/>
          <w:szCs w:val="21"/>
        </w:rPr>
        <w:t>地址：</w:t>
      </w:r>
    </w:p>
    <w:p>
      <w:pPr>
        <w:adjustRightInd w:val="0"/>
        <w:snapToGrid w:val="0"/>
        <w:jc w:val="left"/>
        <w:rPr>
          <w:rFonts w:ascii="宋体" w:hAnsi="宋体"/>
          <w:szCs w:val="21"/>
          <w:u w:val="single"/>
        </w:rPr>
      </w:pPr>
      <w:r>
        <w:rPr>
          <w:rFonts w:hint="eastAsia" w:ascii="宋体" w:hAnsi="宋体"/>
          <w:szCs w:val="21"/>
          <w:u w:val="single"/>
        </w:rPr>
        <w:t>佛山市南海区禅碳路232号</w:t>
      </w:r>
    </w:p>
    <w:p>
      <w:pPr>
        <w:tabs>
          <w:tab w:val="left" w:pos="525"/>
          <w:tab w:val="left" w:pos="1155"/>
        </w:tabs>
        <w:adjustRightInd w:val="0"/>
        <w:snapToGrid w:val="0"/>
        <w:jc w:val="left"/>
        <w:rPr>
          <w:rFonts w:ascii="宋体" w:hAnsi="宋体"/>
          <w:szCs w:val="21"/>
        </w:rPr>
      </w:pPr>
    </w:p>
    <w:p>
      <w:pPr>
        <w:tabs>
          <w:tab w:val="left" w:pos="525"/>
          <w:tab w:val="left" w:pos="1155"/>
        </w:tabs>
        <w:adjustRightInd w:val="0"/>
        <w:snapToGrid w:val="0"/>
        <w:jc w:val="left"/>
        <w:rPr>
          <w:rFonts w:ascii="宋体" w:hAnsi="宋体"/>
          <w:szCs w:val="21"/>
        </w:rPr>
      </w:pPr>
      <w:r>
        <w:rPr>
          <w:rFonts w:hint="eastAsia" w:ascii="宋体" w:hAnsi="宋体"/>
          <w:szCs w:val="21"/>
        </w:rPr>
        <w:t>法定代表人：</w:t>
      </w:r>
      <w:r>
        <w:rPr>
          <w:rFonts w:hint="eastAsia" w:ascii="宋体" w:hAnsi="宋体"/>
          <w:szCs w:val="21"/>
          <w:lang w:val="en-US" w:eastAsia="zh-CN"/>
        </w:rPr>
        <w:t xml:space="preserve">                                  </w:t>
      </w:r>
      <w:r>
        <w:rPr>
          <w:rFonts w:hint="eastAsia" w:ascii="宋体" w:hAnsi="宋体"/>
          <w:szCs w:val="21"/>
        </w:rPr>
        <w:t>法定代表人：</w:t>
      </w:r>
    </w:p>
    <w:p>
      <w:pPr>
        <w:tabs>
          <w:tab w:val="left" w:pos="525"/>
          <w:tab w:val="left" w:pos="1155"/>
        </w:tabs>
        <w:adjustRightInd w:val="0"/>
        <w:snapToGrid w:val="0"/>
        <w:jc w:val="left"/>
        <w:rPr>
          <w:rFonts w:ascii="宋体" w:hAnsi="宋体"/>
          <w:szCs w:val="21"/>
        </w:rPr>
      </w:pPr>
      <w:r>
        <w:rPr>
          <w:rFonts w:hint="eastAsia" w:ascii="宋体" w:hAnsi="宋体"/>
          <w:szCs w:val="21"/>
        </w:rPr>
        <w:t>委托代理人：</w:t>
      </w:r>
      <w:r>
        <w:rPr>
          <w:rFonts w:hint="eastAsia" w:ascii="宋体" w:hAnsi="宋体"/>
          <w:szCs w:val="21"/>
          <w:lang w:val="en-US" w:eastAsia="zh-CN"/>
        </w:rPr>
        <w:t xml:space="preserve">                                  </w:t>
      </w:r>
      <w:r>
        <w:rPr>
          <w:rFonts w:hint="eastAsia" w:ascii="宋体" w:hAnsi="宋体"/>
          <w:szCs w:val="21"/>
        </w:rPr>
        <w:t>委托代理人：</w:t>
      </w:r>
    </w:p>
    <w:p>
      <w:pPr>
        <w:tabs>
          <w:tab w:val="left" w:pos="525"/>
          <w:tab w:val="left" w:pos="1155"/>
        </w:tabs>
        <w:adjustRightInd w:val="0"/>
        <w:snapToGrid w:val="0"/>
        <w:jc w:val="left"/>
        <w:rPr>
          <w:rFonts w:ascii="宋体" w:hAnsi="宋体"/>
          <w:szCs w:val="21"/>
        </w:rPr>
      </w:pPr>
      <w:r>
        <w:rPr>
          <w:rFonts w:hint="eastAsia" w:ascii="宋体" w:hAnsi="宋体"/>
          <w:szCs w:val="21"/>
        </w:rPr>
        <w:t>电</w:t>
      </w:r>
      <w:r>
        <w:rPr>
          <w:rFonts w:ascii="宋体" w:hAnsi="宋体"/>
          <w:szCs w:val="21"/>
        </w:rPr>
        <w:t xml:space="preserve">    话：</w:t>
      </w:r>
      <w:r>
        <w:rPr>
          <w:rFonts w:hint="eastAsia" w:ascii="宋体" w:hAnsi="宋体"/>
          <w:szCs w:val="21"/>
        </w:rPr>
        <w:t>020-22110739</w:t>
      </w:r>
      <w:r>
        <w:rPr>
          <w:rFonts w:hint="eastAsia" w:ascii="宋体" w:hAnsi="宋体"/>
          <w:szCs w:val="21"/>
          <w:lang w:val="en-US" w:eastAsia="zh-CN"/>
        </w:rPr>
        <w:t xml:space="preserve">                        </w:t>
      </w:r>
      <w:r>
        <w:rPr>
          <w:rFonts w:hint="eastAsia" w:ascii="宋体" w:hAnsi="宋体"/>
          <w:szCs w:val="21"/>
        </w:rPr>
        <w:t>电话：</w:t>
      </w:r>
    </w:p>
    <w:p>
      <w:pPr>
        <w:tabs>
          <w:tab w:val="left" w:pos="525"/>
          <w:tab w:val="left" w:pos="1155"/>
        </w:tabs>
        <w:adjustRightInd w:val="0"/>
        <w:snapToGrid w:val="0"/>
        <w:jc w:val="left"/>
        <w:rPr>
          <w:rFonts w:ascii="宋体" w:hAnsi="宋体"/>
          <w:szCs w:val="21"/>
        </w:rPr>
      </w:pPr>
      <w:r>
        <w:rPr>
          <w:rFonts w:hint="eastAsia" w:ascii="宋体" w:hAnsi="宋体"/>
          <w:szCs w:val="21"/>
        </w:rPr>
        <w:t>传</w:t>
      </w:r>
      <w:r>
        <w:rPr>
          <w:rFonts w:ascii="宋体" w:hAnsi="宋体"/>
          <w:szCs w:val="21"/>
        </w:rPr>
        <w:t xml:space="preserve">    真：020-</w:t>
      </w:r>
      <w:r>
        <w:rPr>
          <w:rFonts w:hint="eastAsia" w:ascii="宋体" w:hAnsi="宋体"/>
          <w:szCs w:val="21"/>
        </w:rPr>
        <w:t>22110701</w:t>
      </w:r>
      <w:r>
        <w:rPr>
          <w:rFonts w:hint="eastAsia" w:ascii="宋体" w:hAnsi="宋体"/>
          <w:szCs w:val="21"/>
          <w:lang w:val="en-US" w:eastAsia="zh-CN"/>
        </w:rPr>
        <w:t xml:space="preserve">                        </w:t>
      </w:r>
      <w:r>
        <w:rPr>
          <w:rFonts w:hint="eastAsia" w:ascii="宋体" w:hAnsi="宋体"/>
          <w:szCs w:val="21"/>
        </w:rPr>
        <w:t>传真：</w:t>
      </w:r>
    </w:p>
    <w:p>
      <w:pPr>
        <w:tabs>
          <w:tab w:val="left" w:pos="525"/>
          <w:tab w:val="left" w:pos="1155"/>
        </w:tabs>
        <w:adjustRightInd w:val="0"/>
        <w:snapToGrid w:val="0"/>
        <w:jc w:val="left"/>
        <w:rPr>
          <w:rFonts w:ascii="宋体" w:hAnsi="宋体"/>
          <w:szCs w:val="21"/>
        </w:rPr>
      </w:pPr>
      <w:r>
        <w:rPr>
          <w:rFonts w:hint="eastAsia" w:ascii="宋体" w:hAnsi="宋体"/>
          <w:szCs w:val="21"/>
        </w:rPr>
        <w:t>开户银行：</w:t>
      </w:r>
      <w:r>
        <w:rPr>
          <w:rFonts w:hint="eastAsia" w:ascii="宋体" w:hAnsi="宋体"/>
          <w:szCs w:val="21"/>
          <w:lang w:val="en-US" w:eastAsia="zh-CN"/>
        </w:rPr>
        <w:t xml:space="preserve">                                    </w:t>
      </w:r>
      <w:r>
        <w:rPr>
          <w:rFonts w:hint="eastAsia" w:ascii="宋体" w:hAnsi="宋体"/>
          <w:szCs w:val="21"/>
        </w:rPr>
        <w:t>开户银行：</w:t>
      </w:r>
    </w:p>
    <w:p>
      <w:pPr>
        <w:tabs>
          <w:tab w:val="left" w:pos="525"/>
          <w:tab w:val="left" w:pos="1155"/>
        </w:tabs>
        <w:adjustRightInd w:val="0"/>
        <w:snapToGrid w:val="0"/>
        <w:jc w:val="left"/>
        <w:rPr>
          <w:rFonts w:ascii="宋体" w:hAnsi="宋体"/>
          <w:szCs w:val="21"/>
        </w:rPr>
      </w:pPr>
      <w:r>
        <w:rPr>
          <w:rFonts w:hint="eastAsia" w:ascii="宋体" w:hAnsi="宋体"/>
          <w:szCs w:val="21"/>
        </w:rPr>
        <w:t>帐</w:t>
      </w:r>
      <w:r>
        <w:rPr>
          <w:rFonts w:ascii="宋体" w:hAnsi="宋体"/>
          <w:szCs w:val="21"/>
        </w:rPr>
        <w:t xml:space="preserve">    号：                                    </w:t>
      </w:r>
      <w:r>
        <w:rPr>
          <w:rFonts w:hint="eastAsia" w:ascii="宋体" w:hAnsi="宋体"/>
          <w:szCs w:val="21"/>
        </w:rPr>
        <w:t>帐号：</w:t>
      </w:r>
    </w:p>
    <w:p>
      <w:pPr>
        <w:tabs>
          <w:tab w:val="left" w:pos="525"/>
          <w:tab w:val="left" w:pos="1155"/>
        </w:tabs>
        <w:adjustRightInd w:val="0"/>
        <w:snapToGrid w:val="0"/>
        <w:jc w:val="left"/>
        <w:rPr>
          <w:rFonts w:ascii="宋体" w:hAnsi="宋体"/>
          <w:szCs w:val="21"/>
        </w:rPr>
      </w:pPr>
      <w:r>
        <w:rPr>
          <w:rFonts w:hint="eastAsia" w:ascii="宋体" w:hAnsi="宋体"/>
          <w:szCs w:val="21"/>
        </w:rPr>
        <w:t>邮政编码：</w:t>
      </w:r>
      <w:r>
        <w:rPr>
          <w:rFonts w:hint="eastAsia" w:ascii="宋体" w:hAnsi="宋体"/>
          <w:szCs w:val="21"/>
          <w:lang w:val="en-US" w:eastAsia="zh-CN"/>
        </w:rPr>
        <w:t xml:space="preserve">                                    </w:t>
      </w:r>
      <w:r>
        <w:rPr>
          <w:rFonts w:hint="eastAsia" w:ascii="宋体" w:hAnsi="宋体"/>
          <w:szCs w:val="21"/>
        </w:rPr>
        <w:t>邮政编码：</w:t>
      </w:r>
    </w:p>
    <w:p>
      <w:pPr>
        <w:tabs>
          <w:tab w:val="left" w:pos="525"/>
          <w:tab w:val="left" w:pos="1155"/>
        </w:tabs>
        <w:adjustRightInd w:val="0"/>
        <w:snapToGrid w:val="0"/>
        <w:jc w:val="left"/>
        <w:rPr>
          <w:rFonts w:ascii="宋体" w:hAnsi="宋体"/>
          <w:szCs w:val="21"/>
        </w:rPr>
      </w:pPr>
      <w:r>
        <w:rPr>
          <w:rFonts w:hint="eastAsia" w:ascii="宋体" w:hAnsi="宋体"/>
          <w:szCs w:val="21"/>
        </w:rPr>
        <w:t>电子邮箱</w:t>
      </w:r>
      <w:r>
        <w:rPr>
          <w:rFonts w:ascii="宋体" w:hAnsi="宋体"/>
          <w:szCs w:val="21"/>
        </w:rPr>
        <w:t xml:space="preserve">:                                     </w:t>
      </w:r>
      <w:r>
        <w:rPr>
          <w:rFonts w:hint="eastAsia" w:ascii="宋体" w:hAnsi="宋体"/>
          <w:szCs w:val="21"/>
        </w:rPr>
        <w:t>电子邮箱</w:t>
      </w:r>
      <w:r>
        <w:rPr>
          <w:rFonts w:ascii="宋体" w:hAnsi="宋体"/>
          <w:szCs w:val="21"/>
        </w:rPr>
        <w:t xml:space="preserve">: </w:t>
      </w:r>
    </w:p>
    <w:bookmarkEnd w:id="93"/>
    <w:bookmarkEnd w:id="94"/>
    <w:bookmarkEnd w:id="95"/>
    <w:bookmarkEnd w:id="96"/>
    <w:p>
      <w:pPr>
        <w:snapToGrid w:val="0"/>
        <w:jc w:val="center"/>
        <w:outlineLvl w:val="0"/>
        <w:rPr>
          <w:rFonts w:ascii="黑体" w:hAnsi="宋体" w:eastAsia="黑体"/>
          <w:sz w:val="36"/>
          <w:szCs w:val="36"/>
        </w:rPr>
      </w:pPr>
      <w:r>
        <w:rPr>
          <w:rFonts w:ascii="宋体" w:hAnsi="宋体"/>
          <w:sz w:val="48"/>
          <w:szCs w:val="48"/>
        </w:rPr>
        <w:br w:type="page"/>
      </w:r>
      <w:bookmarkStart w:id="100" w:name="_Toc246901721"/>
      <w:bookmarkStart w:id="101" w:name="_Toc244509508"/>
      <w:bookmarkStart w:id="102" w:name="_Toc244677376"/>
      <w:r>
        <w:rPr>
          <w:rFonts w:hint="eastAsia" w:ascii="黑体" w:hAnsi="宋体" w:eastAsia="黑体"/>
          <w:sz w:val="36"/>
          <w:szCs w:val="36"/>
        </w:rPr>
        <w:t xml:space="preserve">第二部分 </w:t>
      </w:r>
      <w:r>
        <w:rPr>
          <w:rFonts w:ascii="黑体" w:hAnsi="宋体" w:eastAsia="黑体"/>
          <w:sz w:val="36"/>
          <w:szCs w:val="36"/>
        </w:rPr>
        <w:t xml:space="preserve"> 合同</w:t>
      </w:r>
      <w:r>
        <w:rPr>
          <w:rFonts w:hint="eastAsia" w:ascii="黑体" w:hAnsi="宋体" w:eastAsia="黑体"/>
          <w:sz w:val="36"/>
          <w:szCs w:val="36"/>
        </w:rPr>
        <w:t>通用条款</w:t>
      </w:r>
      <w:bookmarkEnd w:id="100"/>
      <w:bookmarkEnd w:id="101"/>
      <w:bookmarkEnd w:id="102"/>
    </w:p>
    <w:p>
      <w:pPr>
        <w:pStyle w:val="42"/>
        <w:snapToGrid w:val="0"/>
        <w:jc w:val="center"/>
        <w:rPr>
          <w:rFonts w:ascii="黑体" w:hAnsi="宋体" w:eastAsia="黑体"/>
          <w:szCs w:val="21"/>
        </w:rPr>
      </w:pPr>
    </w:p>
    <w:p>
      <w:pPr>
        <w:pStyle w:val="4"/>
        <w:ind w:firstLine="564" w:firstLineChars="235"/>
        <w:jc w:val="left"/>
        <w:rPr>
          <w:rFonts w:ascii="宋体" w:hAnsi="宋体" w:cs="宋体"/>
          <w:sz w:val="24"/>
        </w:rPr>
      </w:pPr>
      <w:r>
        <w:rPr>
          <w:rFonts w:hint="eastAsia" w:ascii="宋体" w:hAnsi="宋体" w:cs="宋体"/>
          <w:sz w:val="24"/>
        </w:rPr>
        <w:t>通用合同条款直接引用《建设工程施工合同（示范文本）（GF-2017-0201）第二部分“通用合同条款”内容，此略。</w:t>
      </w:r>
    </w:p>
    <w:p>
      <w:pPr>
        <w:spacing w:line="600" w:lineRule="exact"/>
        <w:jc w:val="center"/>
        <w:outlineLvl w:val="0"/>
        <w:rPr>
          <w:rFonts w:eastAsia="黑体"/>
          <w:sz w:val="36"/>
        </w:rPr>
      </w:pPr>
      <w:r>
        <w:br w:type="page"/>
      </w:r>
      <w:bookmarkStart w:id="103" w:name="_Toc244509509"/>
      <w:bookmarkStart w:id="104" w:name="_Toc244677377"/>
      <w:bookmarkStart w:id="105" w:name="_Toc246901722"/>
      <w:r>
        <w:rPr>
          <w:rFonts w:hint="eastAsia" w:eastAsia="黑体"/>
          <w:sz w:val="36"/>
        </w:rPr>
        <w:t>第三部分专用条款</w:t>
      </w:r>
      <w:bookmarkEnd w:id="103"/>
      <w:bookmarkEnd w:id="104"/>
      <w:bookmarkEnd w:id="105"/>
    </w:p>
    <w:p>
      <w:pPr>
        <w:adjustRightInd w:val="0"/>
        <w:snapToGrid w:val="0"/>
        <w:jc w:val="left"/>
        <w:rPr>
          <w:rFonts w:ascii="宋体" w:hAnsi="宋体"/>
          <w:b/>
          <w:szCs w:val="21"/>
        </w:rPr>
      </w:pPr>
      <w:r>
        <w:rPr>
          <w:rFonts w:ascii="宋体" w:hAnsi="宋体"/>
          <w:b/>
          <w:szCs w:val="21"/>
        </w:rPr>
        <w:t>1、定义</w:t>
      </w:r>
    </w:p>
    <w:p>
      <w:pPr>
        <w:adjustRightInd w:val="0"/>
        <w:snapToGrid w:val="0"/>
        <w:jc w:val="left"/>
        <w:rPr>
          <w:rFonts w:ascii="宋体" w:hAnsi="宋体"/>
          <w:szCs w:val="21"/>
        </w:rPr>
      </w:pPr>
      <w:r>
        <w:rPr>
          <w:rFonts w:ascii="宋体" w:hAnsi="宋体"/>
          <w:szCs w:val="21"/>
        </w:rPr>
        <w:t>1.39</w:t>
      </w:r>
      <w:r>
        <w:rPr>
          <w:rFonts w:hint="eastAsia" w:ascii="宋体" w:hAnsi="宋体"/>
          <w:szCs w:val="21"/>
        </w:rPr>
        <w:t>本合同所采用的书面形式包括：</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文书</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信件</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电报</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传真</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电子邮件</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其他：按</w:t>
      </w:r>
      <w:r>
        <w:rPr>
          <w:rFonts w:hint="eastAsia" w:ascii="宋体" w:hAnsi="宋体"/>
          <w:szCs w:val="21"/>
        </w:rPr>
        <w:t>本合同通用第</w:t>
      </w:r>
      <w:r>
        <w:rPr>
          <w:rFonts w:ascii="宋体" w:hAnsi="宋体"/>
          <w:szCs w:val="21"/>
        </w:rPr>
        <w:t>1.39</w:t>
      </w:r>
      <w:r>
        <w:rPr>
          <w:rFonts w:hint="eastAsia" w:ascii="宋体" w:hAnsi="宋体"/>
          <w:szCs w:val="21"/>
        </w:rPr>
        <w:t>款执行。</w:t>
      </w:r>
    </w:p>
    <w:p>
      <w:pPr>
        <w:adjustRightInd w:val="0"/>
        <w:snapToGrid w:val="0"/>
        <w:ind w:firstLine="420" w:firstLineChars="2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2、合同文件</w:t>
      </w:r>
      <w:r>
        <w:rPr>
          <w:rFonts w:hint="eastAsia" w:ascii="宋体" w:hAnsi="宋体"/>
          <w:b/>
          <w:szCs w:val="21"/>
        </w:rPr>
        <w:t>及解释</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 xml:space="preserve">     合同文件组成及优先顺序</w:t>
      </w:r>
    </w:p>
    <w:p>
      <w:pPr>
        <w:adjustRightInd w:val="0"/>
        <w:snapToGrid w:val="0"/>
        <w:ind w:left="840" w:hanging="840" w:hangingChars="400"/>
        <w:jc w:val="left"/>
        <w:rPr>
          <w:rFonts w:ascii="宋体" w:hAnsi="宋体"/>
          <w:szCs w:val="21"/>
        </w:rPr>
      </w:pPr>
      <w:r>
        <w:rPr>
          <w:rFonts w:ascii="宋体" w:hAnsi="宋体"/>
          <w:szCs w:val="21"/>
        </w:rPr>
        <w:t>2.2.1</w:t>
      </w:r>
      <w:r>
        <w:rPr>
          <w:rFonts w:hint="eastAsia" w:ascii="宋体" w:hAnsi="宋体"/>
          <w:szCs w:val="21"/>
        </w:rPr>
        <w:t xml:space="preserve">   履行本合同的相关补充协议（含承诺书、会议纪要、工程变更、签证等修正文件）；</w:t>
      </w:r>
    </w:p>
    <w:p>
      <w:pPr>
        <w:adjustRightInd w:val="0"/>
        <w:snapToGrid w:val="0"/>
        <w:ind w:left="840" w:hanging="840" w:hangingChars="400"/>
        <w:jc w:val="left"/>
        <w:rPr>
          <w:rFonts w:ascii="宋体" w:hAnsi="宋体"/>
          <w:szCs w:val="21"/>
        </w:rPr>
      </w:pPr>
      <w:r>
        <w:rPr>
          <w:rFonts w:ascii="宋体" w:hAnsi="宋体"/>
          <w:szCs w:val="21"/>
        </w:rPr>
        <w:t>2.2.2</w:t>
      </w:r>
      <w:r>
        <w:rPr>
          <w:rFonts w:hint="eastAsia" w:ascii="宋体" w:hAnsi="宋体"/>
          <w:szCs w:val="21"/>
        </w:rPr>
        <w:t xml:space="preserve">   本合同协议书；</w:t>
      </w:r>
    </w:p>
    <w:p>
      <w:pPr>
        <w:adjustRightInd w:val="0"/>
        <w:snapToGrid w:val="0"/>
        <w:ind w:left="840" w:hanging="840" w:hangingChars="400"/>
        <w:jc w:val="left"/>
        <w:rPr>
          <w:rFonts w:ascii="宋体" w:hAnsi="宋体"/>
          <w:szCs w:val="21"/>
        </w:rPr>
      </w:pPr>
      <w:r>
        <w:rPr>
          <w:rFonts w:ascii="宋体" w:hAnsi="宋体"/>
          <w:szCs w:val="21"/>
        </w:rPr>
        <w:t>2.2.3</w:t>
      </w:r>
      <w:r>
        <w:rPr>
          <w:rFonts w:hint="eastAsia" w:ascii="宋体" w:hAnsi="宋体"/>
          <w:szCs w:val="21"/>
        </w:rPr>
        <w:t xml:space="preserve">   专用条款；</w:t>
      </w:r>
    </w:p>
    <w:p>
      <w:pPr>
        <w:adjustRightInd w:val="0"/>
        <w:snapToGrid w:val="0"/>
        <w:ind w:left="840" w:hanging="840" w:hangingChars="400"/>
        <w:jc w:val="left"/>
        <w:rPr>
          <w:rFonts w:ascii="宋体" w:hAnsi="宋体"/>
          <w:szCs w:val="21"/>
        </w:rPr>
      </w:pPr>
      <w:r>
        <w:rPr>
          <w:rFonts w:ascii="宋体" w:hAnsi="宋体"/>
          <w:szCs w:val="21"/>
        </w:rPr>
        <w:t xml:space="preserve">2.2.4 </w:t>
      </w:r>
      <w:r>
        <w:rPr>
          <w:rFonts w:hint="eastAsia" w:ascii="宋体" w:hAnsi="宋体"/>
          <w:szCs w:val="21"/>
        </w:rPr>
        <w:t xml:space="preserve">  图纸； </w:t>
      </w:r>
    </w:p>
    <w:p>
      <w:pPr>
        <w:adjustRightInd w:val="0"/>
        <w:snapToGrid w:val="0"/>
        <w:ind w:left="840" w:hanging="840" w:hangingChars="400"/>
        <w:jc w:val="left"/>
        <w:rPr>
          <w:rFonts w:ascii="宋体" w:hAnsi="宋体"/>
          <w:szCs w:val="21"/>
        </w:rPr>
      </w:pPr>
      <w:r>
        <w:rPr>
          <w:rFonts w:ascii="宋体" w:hAnsi="宋体"/>
          <w:szCs w:val="21"/>
        </w:rPr>
        <w:t xml:space="preserve">2.2.5 </w:t>
      </w:r>
      <w:r>
        <w:rPr>
          <w:rFonts w:hint="eastAsia" w:ascii="宋体" w:hAnsi="宋体"/>
          <w:szCs w:val="21"/>
        </w:rPr>
        <w:t xml:space="preserve">  本合同附件； </w:t>
      </w:r>
    </w:p>
    <w:p>
      <w:pPr>
        <w:adjustRightInd w:val="0"/>
        <w:snapToGrid w:val="0"/>
        <w:ind w:left="840" w:hanging="840" w:hangingChars="400"/>
        <w:jc w:val="left"/>
        <w:rPr>
          <w:rFonts w:ascii="宋体" w:hAnsi="宋体"/>
          <w:szCs w:val="21"/>
        </w:rPr>
      </w:pPr>
      <w:r>
        <w:rPr>
          <w:rFonts w:hint="eastAsia" w:ascii="宋体" w:hAnsi="宋体"/>
          <w:szCs w:val="21"/>
        </w:rPr>
        <w:t>2.2.6   招标文件</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7   乙方投标文件</w:t>
      </w:r>
      <w:r>
        <w:rPr>
          <w:rFonts w:ascii="宋体" w:hAnsi="宋体"/>
          <w:szCs w:val="21"/>
        </w:rPr>
        <w:t>[含评标期间的澄清文件和补充资料（适用于招标工程）]；</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 xml:space="preserve">8   通用条款； </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.9   标准、规范及有关技术文件；</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10   组成本合同的其他文件。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3、语言及适用的法律、标准与规范</w:t>
      </w:r>
    </w:p>
    <w:p>
      <w:pPr>
        <w:adjustRightInd w:val="0"/>
        <w:snapToGrid w:val="0"/>
        <w:ind w:left="840" w:hanging="840" w:hangingChars="400"/>
        <w:jc w:val="left"/>
        <w:rPr>
          <w:rFonts w:ascii="宋体" w:hAnsi="宋体"/>
          <w:szCs w:val="21"/>
        </w:rPr>
      </w:pPr>
      <w:r>
        <w:rPr>
          <w:rFonts w:ascii="宋体" w:hAnsi="宋体"/>
          <w:szCs w:val="21"/>
        </w:rPr>
        <w:t>3.</w:t>
      </w:r>
      <w:r>
        <w:rPr>
          <w:rFonts w:hint="eastAsia" w:ascii="宋体" w:hAnsi="宋体"/>
          <w:szCs w:val="21"/>
        </w:rPr>
        <w:t>1     适用的法律、行政法规：《中华人民共和国建筑法》、《中华人民共和国合同法》、《建设工程质量管理条例》、《房屋建筑工程质量保修办法》以及国家和工程所在地现行有关法律、法规、文件规定等。</w:t>
      </w:r>
    </w:p>
    <w:p>
      <w:pPr>
        <w:adjustRightInd w:val="0"/>
        <w:snapToGrid w:val="0"/>
        <w:ind w:left="840" w:hanging="840" w:hangingChars="400"/>
        <w:jc w:val="left"/>
        <w:rPr>
          <w:rFonts w:ascii="宋体" w:hAnsi="宋体"/>
          <w:szCs w:val="21"/>
        </w:rPr>
      </w:pPr>
      <w:r>
        <w:rPr>
          <w:rFonts w:ascii="宋体" w:hAnsi="宋体"/>
          <w:szCs w:val="21"/>
        </w:rPr>
        <w:t>3.</w:t>
      </w:r>
      <w:r>
        <w:rPr>
          <w:rFonts w:hint="eastAsia" w:ascii="宋体" w:hAnsi="宋体"/>
          <w:szCs w:val="21"/>
        </w:rPr>
        <w:t>2     约定适用的标准、规范：《建筑工程施工质量验收统一标准》</w:t>
      </w:r>
      <w:r>
        <w:rPr>
          <w:rFonts w:ascii="宋体" w:hAnsi="宋体"/>
          <w:szCs w:val="21"/>
        </w:rPr>
        <w:t>GB50300-2001及国家、省市颁发的建筑工程、装修工程的标准、规范。</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4、通讯联络</w:t>
      </w:r>
    </w:p>
    <w:p>
      <w:pPr>
        <w:adjustRightInd w:val="0"/>
        <w:snapToGrid w:val="0"/>
        <w:ind w:left="840" w:hanging="840" w:hangingChars="400"/>
        <w:jc w:val="left"/>
        <w:rPr>
          <w:rFonts w:ascii="宋体" w:hAnsi="宋体"/>
          <w:szCs w:val="21"/>
        </w:rPr>
      </w:pPr>
      <w:r>
        <w:rPr>
          <w:rFonts w:ascii="宋体" w:hAnsi="宋体"/>
          <w:szCs w:val="21"/>
        </w:rPr>
        <w:t>4.2</w:t>
      </w:r>
      <w:r>
        <w:rPr>
          <w:rFonts w:hint="eastAsia" w:ascii="宋体" w:hAnsi="宋体"/>
          <w:szCs w:val="21"/>
        </w:rPr>
        <w:t xml:space="preserve">     发送通讯</w:t>
      </w:r>
    </w:p>
    <w:p>
      <w:pPr>
        <w:adjustRightInd w:val="0"/>
        <w:snapToGrid w:val="0"/>
        <w:ind w:left="840" w:hanging="840" w:hangingChars="400"/>
        <w:jc w:val="left"/>
        <w:rPr>
          <w:rFonts w:ascii="宋体" w:hAnsi="宋体"/>
          <w:szCs w:val="21"/>
          <w:u w:val="single"/>
        </w:rPr>
      </w:pPr>
      <w:r>
        <w:rPr>
          <w:rFonts w:ascii="宋体" w:hAnsi="宋体"/>
          <w:szCs w:val="21"/>
        </w:rPr>
        <w:t>4.2.1</w:t>
      </w:r>
      <w:r>
        <w:rPr>
          <w:rFonts w:hint="eastAsia" w:ascii="宋体" w:hAnsi="宋体"/>
          <w:szCs w:val="21"/>
        </w:rPr>
        <w:t xml:space="preserve">   甲方（即发包人，以下均同）：</w:t>
      </w:r>
      <w:r>
        <w:rPr>
          <w:rFonts w:hint="eastAsia" w:ascii="宋体" w:hAnsi="宋体"/>
          <w:szCs w:val="21"/>
          <w:u w:val="single"/>
        </w:rPr>
        <w:t>佛山市南海恒德胜嘉置业有限公司</w:t>
      </w:r>
    </w:p>
    <w:p>
      <w:pPr>
        <w:adjustRightInd w:val="0"/>
        <w:snapToGrid w:val="0"/>
        <w:ind w:left="840" w:leftChars="400"/>
        <w:jc w:val="left"/>
        <w:rPr>
          <w:rFonts w:ascii="宋体" w:hAnsi="宋体"/>
          <w:szCs w:val="21"/>
        </w:rPr>
      </w:pPr>
      <w:r>
        <w:rPr>
          <w:rFonts w:hint="eastAsia" w:ascii="宋体" w:hAnsi="宋体"/>
          <w:szCs w:val="21"/>
        </w:rPr>
        <w:t>通讯地址：</w:t>
      </w:r>
      <w:r>
        <w:rPr>
          <w:rFonts w:ascii="宋体" w:hAnsi="宋体"/>
          <w:szCs w:val="21"/>
        </w:rPr>
        <w:t>邮编：</w:t>
      </w:r>
    </w:p>
    <w:p>
      <w:pPr>
        <w:adjustRightInd w:val="0"/>
        <w:snapToGrid w:val="0"/>
        <w:ind w:left="840" w:leftChars="400"/>
        <w:jc w:val="left"/>
        <w:rPr>
          <w:rFonts w:ascii="宋体" w:hAnsi="宋体"/>
          <w:szCs w:val="21"/>
        </w:rPr>
      </w:pPr>
      <w:r>
        <w:rPr>
          <w:rFonts w:hint="eastAsia" w:ascii="宋体" w:hAnsi="宋体"/>
          <w:szCs w:val="21"/>
        </w:rPr>
        <w:t>收件人：          联系电话：</w:t>
      </w:r>
    </w:p>
    <w:p>
      <w:pPr>
        <w:adjustRightInd w:val="0"/>
        <w:snapToGrid w:val="0"/>
        <w:ind w:left="840" w:hanging="840" w:hangingChars="400"/>
        <w:jc w:val="left"/>
        <w:rPr>
          <w:rFonts w:ascii="宋体" w:hAnsi="宋体"/>
          <w:szCs w:val="21"/>
          <w:u w:val="single"/>
        </w:rPr>
      </w:pPr>
      <w:r>
        <w:rPr>
          <w:rFonts w:ascii="宋体" w:hAnsi="宋体"/>
          <w:szCs w:val="21"/>
        </w:rPr>
        <w:t>4.2.2</w:t>
      </w:r>
      <w:r>
        <w:rPr>
          <w:rFonts w:hint="eastAsia" w:ascii="宋体" w:hAnsi="宋体"/>
          <w:szCs w:val="21"/>
        </w:rPr>
        <w:t xml:space="preserve">   乙方（即承包人，以下均同）：          邮编：</w:t>
      </w:r>
      <w:r>
        <w:rPr>
          <w:rFonts w:hint="eastAsia" w:ascii="宋体" w:hAnsi="宋体"/>
          <w:szCs w:val="21"/>
          <w:u w:val="single"/>
        </w:rPr>
        <w:t>524500</w:t>
      </w:r>
    </w:p>
    <w:p>
      <w:pPr>
        <w:adjustRightInd w:val="0"/>
        <w:snapToGrid w:val="0"/>
        <w:ind w:left="840" w:leftChars="400"/>
        <w:jc w:val="left"/>
        <w:rPr>
          <w:rFonts w:ascii="宋体" w:hAnsi="宋体"/>
          <w:szCs w:val="21"/>
          <w:u w:val="single"/>
        </w:rPr>
      </w:pPr>
      <w:r>
        <w:rPr>
          <w:rFonts w:hint="eastAsia" w:ascii="宋体" w:hAnsi="宋体"/>
          <w:szCs w:val="21"/>
        </w:rPr>
        <w:t xml:space="preserve">通讯地址 </w:t>
      </w:r>
    </w:p>
    <w:p>
      <w:pPr>
        <w:adjustRightInd w:val="0"/>
        <w:snapToGrid w:val="0"/>
        <w:ind w:left="840" w:leftChars="400"/>
        <w:jc w:val="left"/>
        <w:rPr>
          <w:rFonts w:ascii="宋体" w:hAnsi="宋体"/>
          <w:szCs w:val="21"/>
        </w:rPr>
      </w:pPr>
      <w:r>
        <w:rPr>
          <w:rFonts w:hint="eastAsia" w:ascii="宋体" w:hAnsi="宋体"/>
          <w:szCs w:val="21"/>
        </w:rPr>
        <w:t>收件人：          联系电话：</w:t>
      </w:r>
    </w:p>
    <w:p>
      <w:pPr>
        <w:adjustRightInd w:val="0"/>
        <w:snapToGrid w:val="0"/>
        <w:ind w:left="840" w:hanging="840" w:hangingChars="400"/>
        <w:jc w:val="left"/>
        <w:rPr>
          <w:rFonts w:ascii="宋体" w:hAnsi="宋体"/>
          <w:szCs w:val="21"/>
          <w:u w:val="single"/>
        </w:rPr>
      </w:pPr>
      <w:r>
        <w:rPr>
          <w:rFonts w:ascii="宋体" w:hAnsi="宋体"/>
          <w:szCs w:val="21"/>
        </w:rPr>
        <w:t>4.2.3</w:t>
      </w:r>
      <w:r>
        <w:rPr>
          <w:rFonts w:hint="eastAsia" w:ascii="宋体" w:hAnsi="宋体"/>
          <w:szCs w:val="21"/>
        </w:rPr>
        <w:t xml:space="preserve">   监理单位：</w:t>
      </w:r>
    </w:p>
    <w:p>
      <w:pPr>
        <w:adjustRightInd w:val="0"/>
        <w:snapToGrid w:val="0"/>
        <w:ind w:left="840" w:leftChars="400"/>
        <w:jc w:val="left"/>
        <w:rPr>
          <w:rFonts w:ascii="宋体" w:hAnsi="宋体"/>
          <w:szCs w:val="21"/>
        </w:rPr>
      </w:pPr>
      <w:r>
        <w:rPr>
          <w:rFonts w:hint="eastAsia" w:ascii="宋体" w:hAnsi="宋体"/>
          <w:szCs w:val="21"/>
        </w:rPr>
        <w:t>通讯地址：</w:t>
      </w:r>
      <w:r>
        <w:rPr>
          <w:rFonts w:ascii="宋体" w:hAnsi="宋体"/>
          <w:szCs w:val="21"/>
        </w:rPr>
        <w:t>邮编：</w:t>
      </w:r>
    </w:p>
    <w:p>
      <w:pPr>
        <w:adjustRightInd w:val="0"/>
        <w:snapToGrid w:val="0"/>
        <w:ind w:left="840" w:leftChars="400"/>
        <w:jc w:val="left"/>
        <w:rPr>
          <w:rFonts w:ascii="宋体" w:hAnsi="宋体"/>
          <w:szCs w:val="21"/>
        </w:rPr>
      </w:pPr>
      <w:r>
        <w:rPr>
          <w:rFonts w:hint="eastAsia" w:ascii="宋体" w:hAnsi="宋体"/>
          <w:szCs w:val="21"/>
        </w:rPr>
        <w:t>收件人：___________         联系电话：</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 xml:space="preserve">5、工程分包 </w:t>
      </w:r>
    </w:p>
    <w:p>
      <w:pPr>
        <w:adjustRightInd w:val="0"/>
        <w:snapToGrid w:val="0"/>
        <w:ind w:left="840" w:hanging="840" w:hangingChars="400"/>
        <w:jc w:val="left"/>
        <w:rPr>
          <w:rFonts w:ascii="宋体" w:hAnsi="宋体"/>
          <w:szCs w:val="21"/>
        </w:rPr>
      </w:pPr>
      <w:r>
        <w:rPr>
          <w:rFonts w:ascii="宋体" w:hAnsi="宋体"/>
          <w:szCs w:val="21"/>
        </w:rPr>
        <w:t xml:space="preserve">5.1  </w:t>
      </w:r>
      <w:r>
        <w:rPr>
          <w:rFonts w:hint="eastAsia" w:ascii="宋体" w:hAnsi="宋体"/>
          <w:szCs w:val="21"/>
        </w:rPr>
        <w:t xml:space="preserve">   分包工程的批准</w:t>
      </w:r>
    </w:p>
    <w:p>
      <w:pPr>
        <w:adjustRightInd w:val="0"/>
        <w:snapToGrid w:val="0"/>
        <w:ind w:left="840" w:hanging="840" w:hangingChars="400"/>
        <w:jc w:val="left"/>
        <w:rPr>
          <w:rFonts w:ascii="宋体" w:hAnsi="宋体"/>
          <w:szCs w:val="21"/>
        </w:rPr>
      </w:pPr>
      <w:r>
        <w:rPr>
          <w:rFonts w:ascii="宋体" w:hAnsi="宋体"/>
          <w:szCs w:val="21"/>
        </w:rPr>
        <w:t>5.1.1</w:t>
      </w:r>
      <w:r>
        <w:rPr>
          <w:rFonts w:hint="eastAsia" w:ascii="宋体" w:hAnsi="宋体"/>
          <w:szCs w:val="21"/>
        </w:rPr>
        <w:t xml:space="preserve">   转包：不允许转包（含变转包）及违法分包</w:t>
      </w:r>
      <w:r>
        <w:rPr>
          <w:rFonts w:ascii="宋体" w:hAnsi="宋体"/>
          <w:szCs w:val="21"/>
        </w:rPr>
        <w:t>。</w:t>
      </w:r>
    </w:p>
    <w:p>
      <w:pPr>
        <w:adjustRightInd w:val="0"/>
        <w:snapToGrid w:val="0"/>
        <w:ind w:left="840" w:hanging="840" w:hangingChars="400"/>
        <w:jc w:val="left"/>
        <w:rPr>
          <w:rFonts w:ascii="宋体" w:hAnsi="宋体"/>
          <w:szCs w:val="21"/>
        </w:rPr>
      </w:pPr>
      <w:r>
        <w:rPr>
          <w:rFonts w:ascii="宋体" w:hAnsi="宋体"/>
          <w:szCs w:val="21"/>
        </w:rPr>
        <w:t>5.1.2</w:t>
      </w:r>
      <w:r>
        <w:rPr>
          <w:rFonts w:hint="eastAsia" w:ascii="宋体" w:hAnsi="宋体"/>
          <w:szCs w:val="21"/>
        </w:rPr>
        <w:t xml:space="preserve">   指定分包工程：除本合同协议书第二条约定工程范围外，甲方有权根据工程实际情况指定乙方承建工程范围外的分包单位，同时，乙方无条件同意且接受并配合前述甲方指定的分包单位。乙方除必须按通用条款执行外，还必须按附件</w:t>
      </w:r>
      <w:r>
        <w:rPr>
          <w:rFonts w:hint="eastAsia" w:ascii="宋体" w:hAnsi="宋体"/>
          <w:szCs w:val="21"/>
          <w:u w:val="single"/>
        </w:rPr>
        <w:t>二《施工总承包单位为各项专业承包商所提供的配合服务及其责任》</w:t>
      </w:r>
      <w:r>
        <w:rPr>
          <w:rFonts w:hint="eastAsia" w:ascii="宋体" w:hAnsi="宋体"/>
          <w:szCs w:val="21"/>
        </w:rPr>
        <w:t>的要求给甲方指定的分包单位以及其他专业承包工程的施工提供总包管理及配合服务。</w:t>
      </w:r>
    </w:p>
    <w:p>
      <w:pPr>
        <w:adjustRightInd w:val="0"/>
        <w:snapToGrid w:val="0"/>
        <w:ind w:left="840" w:hanging="840" w:hangingChars="400"/>
        <w:jc w:val="left"/>
        <w:rPr>
          <w:rFonts w:ascii="宋体" w:hAnsi="宋体"/>
          <w:szCs w:val="21"/>
        </w:rPr>
      </w:pPr>
      <w:r>
        <w:rPr>
          <w:rFonts w:ascii="宋体" w:hAnsi="宋体"/>
          <w:szCs w:val="21"/>
        </w:rPr>
        <w:t xml:space="preserve">5.2  </w:t>
      </w:r>
      <w:r>
        <w:rPr>
          <w:rFonts w:hint="eastAsia" w:ascii="宋体" w:hAnsi="宋体"/>
          <w:szCs w:val="21"/>
        </w:rPr>
        <w:t xml:space="preserve">   签订分包合同</w:t>
      </w:r>
    </w:p>
    <w:p>
      <w:pPr>
        <w:adjustRightInd w:val="0"/>
        <w:snapToGrid w:val="0"/>
        <w:ind w:left="840" w:hanging="840" w:hangingChars="400"/>
        <w:jc w:val="left"/>
        <w:rPr>
          <w:rFonts w:ascii="宋体" w:hAnsi="宋体"/>
          <w:szCs w:val="21"/>
        </w:rPr>
      </w:pPr>
      <w:r>
        <w:rPr>
          <w:rFonts w:ascii="宋体" w:hAnsi="宋体"/>
          <w:szCs w:val="21"/>
        </w:rPr>
        <w:t>5.2.1</w:t>
      </w:r>
      <w:r>
        <w:rPr>
          <w:rFonts w:hint="eastAsia" w:ascii="宋体" w:hAnsi="宋体"/>
          <w:szCs w:val="21"/>
        </w:rPr>
        <w:t xml:space="preserve">   经甲方书面批准，乙方可将非主要部分或专业性较强的部分工程分包给他人施工单位，分包合同不得与本合同发生抵触。如未经甲方批准的第三方施工单位进场，甲方有权终止该分包合同并将第三方施工单位驱逐出现场；同时，由此产生的一切责任、后果及损失（包括但不限于：赔偿、补偿、罚金等）均由乙方自行承担，且甲方还有权随时单方解除本合同，届时乙方应按本合同价款总额（暂定）</w:t>
      </w:r>
      <w:r>
        <w:rPr>
          <w:rFonts w:ascii="宋体" w:hAnsi="宋体"/>
          <w:szCs w:val="21"/>
        </w:rPr>
        <w:t>20％向</w:t>
      </w:r>
      <w:r>
        <w:rPr>
          <w:rFonts w:hint="eastAsia" w:ascii="宋体" w:hAnsi="宋体"/>
          <w:szCs w:val="21"/>
        </w:rPr>
        <w:t>甲方支付违约金。</w:t>
      </w:r>
    </w:p>
    <w:p>
      <w:pPr>
        <w:adjustRightInd w:val="0"/>
        <w:snapToGrid w:val="0"/>
        <w:ind w:left="840" w:hanging="840" w:hangingChars="400"/>
        <w:jc w:val="left"/>
        <w:rPr>
          <w:rFonts w:ascii="宋体" w:hAnsi="宋体"/>
          <w:szCs w:val="21"/>
        </w:rPr>
      </w:pPr>
      <w:r>
        <w:rPr>
          <w:rFonts w:ascii="宋体" w:hAnsi="宋体"/>
          <w:szCs w:val="21"/>
        </w:rPr>
        <w:t>5.2.2</w:t>
      </w:r>
      <w:r>
        <w:rPr>
          <w:rFonts w:hint="eastAsia" w:ascii="宋体" w:hAnsi="宋体"/>
          <w:szCs w:val="21"/>
        </w:rPr>
        <w:t xml:space="preserve">   乙方必须在开工后</w:t>
      </w:r>
      <w:r>
        <w:rPr>
          <w:rFonts w:ascii="宋体" w:hAnsi="宋体"/>
          <w:szCs w:val="21"/>
        </w:rPr>
        <w:t>20天内（并且不迟于分包工程开工前30天）提交乙方分包工程的进退场</w:t>
      </w:r>
      <w:r>
        <w:rPr>
          <w:rFonts w:hint="eastAsia" w:ascii="宋体" w:hAnsi="宋体"/>
          <w:szCs w:val="21"/>
        </w:rPr>
        <w:t>时间表，经甲方及监理单位书面确认后执行。</w:t>
      </w:r>
    </w:p>
    <w:p>
      <w:pPr>
        <w:adjustRightInd w:val="0"/>
        <w:snapToGrid w:val="0"/>
        <w:ind w:left="840" w:hanging="840" w:hangingChars="400"/>
        <w:jc w:val="left"/>
        <w:rPr>
          <w:rFonts w:ascii="宋体" w:hAnsi="宋体"/>
          <w:szCs w:val="21"/>
        </w:rPr>
      </w:pPr>
      <w:r>
        <w:rPr>
          <w:rFonts w:ascii="宋体" w:hAnsi="宋体"/>
          <w:szCs w:val="21"/>
        </w:rPr>
        <w:t>5.2.3</w:t>
      </w:r>
      <w:r>
        <w:rPr>
          <w:rFonts w:hint="eastAsia" w:ascii="宋体" w:hAnsi="宋体"/>
          <w:szCs w:val="21"/>
        </w:rPr>
        <w:t xml:space="preserve">   乙方和分包单位应当依法签订分包合同，并按合同履行约定的义务。分包合同必须明确约定支付工程价款和劳务报酬或工资的时间、结算方式以及保证按期支付的相应措施，确保工程价款和劳务报酬或工资的支付。</w:t>
      </w:r>
    </w:p>
    <w:p>
      <w:pPr>
        <w:adjustRightInd w:val="0"/>
        <w:snapToGrid w:val="0"/>
        <w:ind w:left="840" w:hanging="840" w:hangingChars="400"/>
        <w:jc w:val="left"/>
        <w:rPr>
          <w:rFonts w:ascii="宋体" w:hAnsi="宋体"/>
          <w:szCs w:val="21"/>
        </w:rPr>
      </w:pPr>
      <w:r>
        <w:rPr>
          <w:rFonts w:ascii="宋体" w:hAnsi="宋体"/>
          <w:szCs w:val="21"/>
        </w:rPr>
        <w:t>5.2.4</w:t>
      </w:r>
      <w:r>
        <w:rPr>
          <w:rFonts w:hint="eastAsia" w:ascii="宋体" w:hAnsi="宋体"/>
          <w:szCs w:val="21"/>
        </w:rPr>
        <w:t xml:space="preserve">   乙方应向甲方提供分包单位资质证书、分包合同、分包工程施工方案。</w:t>
      </w:r>
    </w:p>
    <w:p>
      <w:pPr>
        <w:adjustRightInd w:val="0"/>
        <w:snapToGrid w:val="0"/>
        <w:ind w:left="840" w:hanging="840" w:hangingChars="400"/>
        <w:jc w:val="left"/>
        <w:rPr>
          <w:rFonts w:ascii="宋体" w:hAnsi="宋体"/>
          <w:szCs w:val="21"/>
        </w:rPr>
      </w:pPr>
      <w:r>
        <w:rPr>
          <w:rFonts w:ascii="宋体" w:hAnsi="宋体"/>
          <w:szCs w:val="21"/>
        </w:rPr>
        <w:t>5.3</w:t>
      </w:r>
      <w:r>
        <w:rPr>
          <w:rFonts w:hint="eastAsia" w:ascii="宋体" w:hAnsi="宋体"/>
          <w:szCs w:val="21"/>
        </w:rPr>
        <w:t xml:space="preserve">     分包工程责任和义务</w:t>
      </w:r>
    </w:p>
    <w:p>
      <w:pPr>
        <w:adjustRightInd w:val="0"/>
        <w:snapToGrid w:val="0"/>
        <w:ind w:left="840" w:hanging="840" w:hangingChars="400"/>
        <w:jc w:val="left"/>
        <w:rPr>
          <w:rFonts w:ascii="宋体" w:hAnsi="宋体"/>
          <w:szCs w:val="21"/>
        </w:rPr>
      </w:pPr>
      <w:r>
        <w:rPr>
          <w:rFonts w:ascii="宋体" w:hAnsi="宋体"/>
          <w:szCs w:val="21"/>
        </w:rPr>
        <w:t>5.3.1</w:t>
      </w:r>
      <w:r>
        <w:rPr>
          <w:rFonts w:hint="eastAsia" w:ascii="宋体" w:hAnsi="宋体"/>
          <w:szCs w:val="21"/>
        </w:rPr>
        <w:t xml:space="preserve">   工程分包不能免除乙方的任何责任与义务。乙方应在分包场地派驻相应管理人员保证本合同的履行。分包单位的任何违约行为或疏忽导致工程损坏、损害或给甲方造成损失的，乙方应承担连带责任。</w:t>
      </w:r>
    </w:p>
    <w:p>
      <w:pPr>
        <w:adjustRightInd w:val="0"/>
        <w:snapToGrid w:val="0"/>
        <w:ind w:left="840" w:hanging="840" w:hangingChars="400"/>
        <w:jc w:val="left"/>
        <w:rPr>
          <w:rFonts w:ascii="宋体" w:hAnsi="宋体"/>
          <w:szCs w:val="21"/>
        </w:rPr>
      </w:pPr>
      <w:r>
        <w:rPr>
          <w:rFonts w:ascii="宋体" w:hAnsi="宋体"/>
          <w:szCs w:val="21"/>
        </w:rPr>
        <w:t xml:space="preserve">5.3.2 </w:t>
      </w:r>
      <w:r>
        <w:rPr>
          <w:rFonts w:hint="eastAsia" w:ascii="宋体" w:hAnsi="宋体"/>
          <w:szCs w:val="21"/>
        </w:rPr>
        <w:t xml:space="preserve">  甲方指定分包工程（若有）</w:t>
      </w:r>
    </w:p>
    <w:p>
      <w:pPr>
        <w:adjustRightInd w:val="0"/>
        <w:snapToGrid w:val="0"/>
        <w:ind w:left="840" w:hanging="840" w:hangingChars="400"/>
        <w:jc w:val="left"/>
        <w:rPr>
          <w:rFonts w:ascii="宋体" w:hAnsi="宋体"/>
          <w:szCs w:val="21"/>
        </w:rPr>
      </w:pPr>
      <w:r>
        <w:rPr>
          <w:rFonts w:ascii="宋体" w:hAnsi="宋体"/>
          <w:szCs w:val="21"/>
        </w:rPr>
        <w:t>5.3.2.1</w:t>
      </w:r>
      <w:r>
        <w:rPr>
          <w:rFonts w:hint="eastAsia" w:ascii="宋体" w:hAnsi="宋体"/>
          <w:szCs w:val="21"/>
        </w:rPr>
        <w:t xml:space="preserve"> 乙方应在进场前对已完工的甲方指定分包工程及场地进行检查并接收。</w:t>
      </w:r>
    </w:p>
    <w:p>
      <w:pPr>
        <w:adjustRightInd w:val="0"/>
        <w:snapToGrid w:val="0"/>
        <w:ind w:left="840" w:hanging="840" w:hangingChars="400"/>
        <w:jc w:val="left"/>
        <w:rPr>
          <w:rFonts w:ascii="宋体" w:hAnsi="宋体"/>
          <w:szCs w:val="21"/>
        </w:rPr>
      </w:pPr>
      <w:r>
        <w:rPr>
          <w:rFonts w:ascii="宋体" w:hAnsi="宋体"/>
          <w:szCs w:val="21"/>
        </w:rPr>
        <w:t>5.3.2.2</w:t>
      </w:r>
      <w:r>
        <w:rPr>
          <w:rFonts w:hint="eastAsia" w:ascii="宋体" w:hAnsi="宋体"/>
          <w:szCs w:val="21"/>
        </w:rPr>
        <w:t xml:space="preserve"> 甲方指定分包单位应服从乙方的管理与监督。</w:t>
      </w:r>
    </w:p>
    <w:p>
      <w:pPr>
        <w:adjustRightInd w:val="0"/>
        <w:snapToGrid w:val="0"/>
        <w:ind w:left="840" w:hanging="840" w:hangingChars="400"/>
        <w:jc w:val="left"/>
        <w:rPr>
          <w:rFonts w:ascii="宋体" w:hAnsi="宋体"/>
          <w:szCs w:val="21"/>
        </w:rPr>
      </w:pPr>
      <w:r>
        <w:rPr>
          <w:rFonts w:ascii="宋体" w:hAnsi="宋体"/>
          <w:szCs w:val="21"/>
        </w:rPr>
        <w:t>5.3.2.3</w:t>
      </w:r>
      <w:r>
        <w:rPr>
          <w:rFonts w:hint="eastAsia" w:ascii="宋体" w:hAnsi="宋体"/>
          <w:szCs w:val="21"/>
        </w:rPr>
        <w:t xml:space="preserve"> 乙方负责对甲方指定分包工程的质量、进度、安全及文明施工、成品保护、现场保安等进行管理监督。</w:t>
      </w:r>
    </w:p>
    <w:p>
      <w:pPr>
        <w:adjustRightInd w:val="0"/>
        <w:snapToGrid w:val="0"/>
        <w:ind w:left="840" w:hanging="840" w:hangingChars="400"/>
        <w:jc w:val="left"/>
        <w:rPr>
          <w:rFonts w:ascii="宋体" w:hAnsi="宋体"/>
          <w:szCs w:val="21"/>
        </w:rPr>
      </w:pPr>
      <w:r>
        <w:rPr>
          <w:rFonts w:ascii="宋体" w:hAnsi="宋体"/>
          <w:szCs w:val="21"/>
        </w:rPr>
        <w:t>5.3.2.4</w:t>
      </w:r>
      <w:r>
        <w:rPr>
          <w:rFonts w:hint="eastAsia" w:ascii="宋体" w:hAnsi="宋体"/>
          <w:szCs w:val="21"/>
        </w:rPr>
        <w:t xml:space="preserve"> 乙方应监督和管理甲方指定分包单位保持施工场地的清洁。</w:t>
      </w:r>
    </w:p>
    <w:p>
      <w:pPr>
        <w:adjustRightInd w:val="0"/>
        <w:snapToGrid w:val="0"/>
        <w:ind w:left="840" w:hanging="840" w:hangingChars="400"/>
        <w:jc w:val="left"/>
        <w:rPr>
          <w:rFonts w:ascii="宋体" w:hAnsi="宋体"/>
          <w:szCs w:val="21"/>
        </w:rPr>
      </w:pPr>
      <w:r>
        <w:rPr>
          <w:rFonts w:ascii="宋体" w:hAnsi="宋体"/>
          <w:szCs w:val="21"/>
        </w:rPr>
        <w:t>5.3.2.5</w:t>
      </w:r>
      <w:r>
        <w:rPr>
          <w:rFonts w:hint="eastAsia" w:ascii="宋体" w:hAnsi="宋体"/>
          <w:szCs w:val="21"/>
        </w:rPr>
        <w:t xml:space="preserve"> 乙方应熟悉甲方指定分包工程的具体要求，了解其分项工程上的特殊要求，如开槽、预留孔洞、预埋件等，并在移交之前，请指定分包单位确认。否则，因此发生的额外施工费用均由乙方承担。乙方应要求各指定分包单位提供施工组织计划与进度计划，并进行汇总分析，对施工程序中有矛盾的地方进行协调解决。若因乙方工程质量及前置施工条件未达到后续施工要求而严重影响甲方指定分包单位相关施工工作的，且乙方又未按甲方要求时间完成整改及配合工作的，视为乙方严重违约。此外，对于分包单位主动提出的相关整改及土建和水电配合要求，乙方应无条件在甲方要求的时间内完成，否则，亦视为乙方严重违约。</w:t>
      </w:r>
    </w:p>
    <w:p>
      <w:pPr>
        <w:adjustRightInd w:val="0"/>
        <w:snapToGrid w:val="0"/>
        <w:ind w:left="840" w:hanging="840" w:hangingChars="400"/>
        <w:jc w:val="left"/>
        <w:rPr>
          <w:rFonts w:ascii="宋体" w:hAnsi="宋体"/>
          <w:szCs w:val="21"/>
        </w:rPr>
      </w:pPr>
      <w:r>
        <w:rPr>
          <w:rFonts w:ascii="宋体" w:hAnsi="宋体"/>
          <w:szCs w:val="21"/>
        </w:rPr>
        <w:t>5.3.2.6</w:t>
      </w:r>
      <w:r>
        <w:rPr>
          <w:rFonts w:hint="eastAsia" w:ascii="宋体" w:hAnsi="宋体"/>
          <w:szCs w:val="21"/>
        </w:rPr>
        <w:t xml:space="preserve"> 乙方应按甲方要求实施后述工作：在各分项施工前应与甲方指定分包单位联系，核对清楚各分包工程图纸与乙方图纸间相关联的尺寸、标高等数据是否统一；及时向甲方指定分包单位无偿提供标高、定位点线（如各房间一米标高线、门窗洞口中线、标高线等）；乙方应根据工程需要，每两层指定为分包单位无偿提供一个给水点、供电点（与施工点不超过</w:t>
      </w:r>
      <w:r>
        <w:rPr>
          <w:rFonts w:ascii="宋体" w:hAnsi="宋体"/>
          <w:szCs w:val="21"/>
        </w:rPr>
        <w:t>30米</w:t>
      </w:r>
      <w:r>
        <w:rPr>
          <w:rFonts w:hint="eastAsia" w:ascii="宋体" w:hAnsi="宋体"/>
          <w:szCs w:val="21"/>
        </w:rPr>
        <w:t>）；乙方应为甲方指定分包单位无偿提供现有机械设备、设施（如垂直提升机械、脚手架等）的使用；</w:t>
      </w:r>
    </w:p>
    <w:p>
      <w:pPr>
        <w:adjustRightInd w:val="0"/>
        <w:snapToGrid w:val="0"/>
        <w:ind w:left="840" w:hanging="840" w:hangingChars="400"/>
        <w:jc w:val="left"/>
        <w:rPr>
          <w:rFonts w:ascii="宋体" w:hAnsi="宋体"/>
          <w:szCs w:val="21"/>
        </w:rPr>
      </w:pPr>
      <w:r>
        <w:rPr>
          <w:rFonts w:ascii="宋体" w:hAnsi="宋体"/>
          <w:szCs w:val="21"/>
        </w:rPr>
        <w:t>5.3.2.7 乙方与</w:t>
      </w:r>
      <w:r>
        <w:rPr>
          <w:rFonts w:hint="eastAsia" w:ascii="宋体" w:hAnsi="宋体"/>
          <w:szCs w:val="21"/>
        </w:rPr>
        <w:t>甲方指定分包单位现场配合事项，出现纠纷时，由甲方、监理单位根据本合同要求及结合工程实 际需要进行调解，乙方须以项目总目标为重，接受调解结果并组织实施。</w:t>
      </w:r>
    </w:p>
    <w:p>
      <w:pPr>
        <w:adjustRightInd w:val="0"/>
        <w:snapToGrid w:val="0"/>
        <w:ind w:left="840" w:hanging="840" w:hangingChars="400"/>
        <w:jc w:val="left"/>
        <w:rPr>
          <w:rFonts w:ascii="宋体" w:hAnsi="宋体"/>
          <w:szCs w:val="21"/>
        </w:rPr>
      </w:pPr>
      <w:r>
        <w:rPr>
          <w:rFonts w:ascii="宋体" w:hAnsi="宋体"/>
          <w:szCs w:val="21"/>
        </w:rPr>
        <w:t>5.3.2.8</w:t>
      </w:r>
      <w:r>
        <w:rPr>
          <w:rFonts w:hint="eastAsia" w:ascii="宋体" w:hAnsi="宋体"/>
          <w:szCs w:val="21"/>
        </w:rPr>
        <w:t xml:space="preserve"> 甲方指定分包工程如在乙方开工前已完成，或者在乙方工程竣工后进场施工的，甲方及甲方指定分包单位均无需向乙方支付任何管理及配合费用。若由于乙方误工致使分包工程在乙方退场前开工的，甲方及甲方指定分包单位亦无需支付任何管理及配合费用给乙方。</w:t>
      </w:r>
    </w:p>
    <w:p>
      <w:pPr>
        <w:adjustRightInd w:val="0"/>
        <w:snapToGrid w:val="0"/>
        <w:ind w:left="840" w:hanging="840" w:hangingChars="400"/>
        <w:jc w:val="left"/>
        <w:rPr>
          <w:rFonts w:ascii="宋体" w:hAnsi="宋体"/>
          <w:szCs w:val="21"/>
        </w:rPr>
      </w:pPr>
      <w:r>
        <w:rPr>
          <w:rFonts w:ascii="宋体" w:hAnsi="宋体"/>
          <w:szCs w:val="21"/>
        </w:rPr>
        <w:t>5.3.2.9</w:t>
      </w:r>
      <w:r>
        <w:rPr>
          <w:rFonts w:hint="eastAsia" w:ascii="宋体" w:hAnsi="宋体"/>
          <w:szCs w:val="21"/>
        </w:rPr>
        <w:t xml:space="preserve"> 乙方应按甲方及指定分包单位的要求完成有关项目施工，提供甲方指定分包工程的开工条件。</w:t>
      </w:r>
    </w:p>
    <w:p>
      <w:pPr>
        <w:adjustRightInd w:val="0"/>
        <w:snapToGrid w:val="0"/>
        <w:ind w:left="840" w:hanging="840" w:hangingChars="400"/>
        <w:jc w:val="left"/>
        <w:rPr>
          <w:rFonts w:ascii="宋体" w:hAnsi="宋体"/>
          <w:szCs w:val="21"/>
        </w:rPr>
      </w:pPr>
      <w:r>
        <w:rPr>
          <w:rFonts w:ascii="宋体" w:hAnsi="宋体"/>
          <w:szCs w:val="21"/>
        </w:rPr>
        <w:t>5.3.2.10</w:t>
      </w:r>
      <w:r>
        <w:rPr>
          <w:rFonts w:hint="eastAsia" w:ascii="宋体" w:hAnsi="宋体"/>
          <w:szCs w:val="21"/>
        </w:rPr>
        <w:t>乙方应对甲方指定分包单位提出合理的进度计划、质量标准及安全生产、文明施工标准等要求，经甲方审核同意后，由指定分包单位贯彻执行。</w:t>
      </w:r>
    </w:p>
    <w:p>
      <w:pPr>
        <w:adjustRightInd w:val="0"/>
        <w:snapToGrid w:val="0"/>
        <w:ind w:left="840" w:hanging="840" w:hangingChars="400"/>
        <w:jc w:val="left"/>
        <w:rPr>
          <w:rFonts w:ascii="宋体" w:hAnsi="宋体"/>
          <w:szCs w:val="21"/>
        </w:rPr>
      </w:pPr>
      <w:r>
        <w:rPr>
          <w:rFonts w:ascii="宋体" w:hAnsi="宋体"/>
          <w:szCs w:val="21"/>
        </w:rPr>
        <w:t>5.3.2.11</w:t>
      </w:r>
      <w:r>
        <w:rPr>
          <w:rFonts w:hint="eastAsia" w:ascii="宋体" w:hAnsi="宋体"/>
          <w:szCs w:val="21"/>
        </w:rPr>
        <w:t>施工中如因乙方原因影响甲方指定分包单位的合同工期，由此导致的工程延期责任均由乙方承担。</w:t>
      </w:r>
    </w:p>
    <w:p>
      <w:pPr>
        <w:adjustRightInd w:val="0"/>
        <w:snapToGrid w:val="0"/>
        <w:ind w:left="840" w:hanging="840" w:hangingChars="400"/>
        <w:jc w:val="left"/>
        <w:rPr>
          <w:rFonts w:ascii="宋体" w:hAnsi="宋体"/>
          <w:szCs w:val="21"/>
        </w:rPr>
      </w:pPr>
      <w:r>
        <w:rPr>
          <w:rFonts w:ascii="宋体" w:hAnsi="宋体"/>
          <w:szCs w:val="21"/>
        </w:rPr>
        <w:t>5.3.2.12</w:t>
      </w:r>
      <w:r>
        <w:rPr>
          <w:rFonts w:hint="eastAsia" w:ascii="宋体" w:hAnsi="宋体"/>
          <w:szCs w:val="21"/>
        </w:rPr>
        <w:t>甲方指定分包单位不服从乙方管理，由甲方进行协调，造成损失由责任方承担，如影响乙方进度，经甲方书面同意后工期可顺延。</w:t>
      </w:r>
    </w:p>
    <w:p>
      <w:pPr>
        <w:adjustRightInd w:val="0"/>
        <w:snapToGrid w:val="0"/>
        <w:ind w:left="840" w:hanging="840" w:hangingChars="400"/>
        <w:jc w:val="left"/>
        <w:rPr>
          <w:rFonts w:ascii="宋体" w:hAnsi="宋体"/>
          <w:szCs w:val="21"/>
        </w:rPr>
      </w:pPr>
      <w:r>
        <w:rPr>
          <w:rFonts w:ascii="宋体" w:hAnsi="宋体"/>
          <w:szCs w:val="21"/>
        </w:rPr>
        <w:t>5.3.3</w:t>
      </w:r>
      <w:r>
        <w:rPr>
          <w:rFonts w:hint="eastAsia" w:ascii="宋体" w:hAnsi="宋体"/>
          <w:szCs w:val="21"/>
        </w:rPr>
        <w:t xml:space="preserve">   乙方负责对甲方、监理单位所发出的工程指令的传达并督促指定分包单位执行。</w:t>
      </w:r>
    </w:p>
    <w:p>
      <w:pPr>
        <w:adjustRightInd w:val="0"/>
        <w:snapToGrid w:val="0"/>
        <w:ind w:left="840" w:hanging="840" w:hangingChars="400"/>
        <w:jc w:val="left"/>
        <w:rPr>
          <w:rFonts w:ascii="宋体" w:hAnsi="宋体"/>
          <w:szCs w:val="21"/>
        </w:rPr>
      </w:pPr>
      <w:r>
        <w:rPr>
          <w:rFonts w:ascii="宋体" w:hAnsi="宋体"/>
          <w:szCs w:val="21"/>
        </w:rPr>
        <w:t>5.3.4</w:t>
      </w:r>
      <w:r>
        <w:rPr>
          <w:rFonts w:hint="eastAsia" w:ascii="宋体" w:hAnsi="宋体"/>
          <w:szCs w:val="21"/>
        </w:rPr>
        <w:t xml:space="preserve">   乙方负责对甲、乙双方分包的工程进行施工总协调，参加甲方指定分包工程验收和竣工验收，给予部分非专业分包的资质协助，工程竣工阶段负责工程所有竣工资料的收集、归档、审查，完成竣工备案工作。</w:t>
      </w:r>
    </w:p>
    <w:p>
      <w:pPr>
        <w:adjustRightInd w:val="0"/>
        <w:snapToGrid w:val="0"/>
        <w:ind w:left="840" w:hanging="840" w:hangingChars="400"/>
        <w:jc w:val="left"/>
        <w:rPr>
          <w:rFonts w:ascii="宋体" w:hAnsi="宋体"/>
          <w:szCs w:val="21"/>
        </w:rPr>
      </w:pPr>
      <w:r>
        <w:rPr>
          <w:rFonts w:ascii="宋体" w:hAnsi="宋体"/>
          <w:szCs w:val="21"/>
        </w:rPr>
        <w:t>5.3.5</w:t>
      </w:r>
      <w:r>
        <w:rPr>
          <w:rFonts w:hint="eastAsia" w:ascii="宋体" w:hAnsi="宋体"/>
          <w:szCs w:val="21"/>
        </w:rPr>
        <w:t xml:space="preserve">   乙方与甲方指定的所有分包单位签订</w:t>
      </w:r>
      <w:r>
        <w:rPr>
          <w:rFonts w:hint="eastAsia" w:ascii="宋体" w:hAnsi="宋体"/>
          <w:szCs w:val="21"/>
          <w:u w:val="single"/>
        </w:rPr>
        <w:t>附件三《工程管理协议》</w:t>
      </w:r>
      <w:r>
        <w:rPr>
          <w:rFonts w:hint="eastAsia" w:ascii="宋体" w:hAnsi="宋体"/>
          <w:szCs w:val="21"/>
        </w:rPr>
        <w:t>，并有义务按要求对分包单位进行统一综合管理。</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14</w:t>
      </w:r>
      <w:r>
        <w:rPr>
          <w:rFonts w:hint="eastAsia" w:ascii="宋体" w:hAnsi="宋体"/>
          <w:b/>
          <w:szCs w:val="21"/>
        </w:rPr>
        <w:t>、甲方</w:t>
      </w:r>
    </w:p>
    <w:p>
      <w:pPr>
        <w:adjustRightInd w:val="0"/>
        <w:snapToGrid w:val="0"/>
        <w:ind w:left="840" w:hanging="840" w:hangingChars="400"/>
        <w:jc w:val="left"/>
        <w:rPr>
          <w:rFonts w:ascii="宋体" w:hAnsi="宋体"/>
          <w:szCs w:val="21"/>
        </w:rPr>
      </w:pPr>
      <w:r>
        <w:rPr>
          <w:rFonts w:ascii="宋体" w:hAnsi="宋体"/>
          <w:szCs w:val="21"/>
        </w:rPr>
        <w:t>14.1</w:t>
      </w:r>
      <w:r>
        <w:rPr>
          <w:rFonts w:hint="eastAsia" w:ascii="宋体" w:hAnsi="宋体"/>
          <w:szCs w:val="21"/>
        </w:rPr>
        <w:t xml:space="preserve">    甲方工作</w:t>
      </w:r>
    </w:p>
    <w:p>
      <w:pPr>
        <w:adjustRightInd w:val="0"/>
        <w:snapToGrid w:val="0"/>
        <w:ind w:left="840" w:hanging="840" w:hangingChars="400"/>
        <w:jc w:val="left"/>
        <w:rPr>
          <w:rFonts w:ascii="宋体" w:hAnsi="宋体"/>
          <w:szCs w:val="21"/>
        </w:rPr>
      </w:pPr>
      <w:r>
        <w:rPr>
          <w:rFonts w:ascii="宋体" w:hAnsi="宋体"/>
          <w:szCs w:val="21"/>
        </w:rPr>
        <w:t>14.1.1</w:t>
      </w:r>
      <w:r>
        <w:rPr>
          <w:rFonts w:hint="eastAsia" w:ascii="宋体" w:hAnsi="宋体"/>
          <w:szCs w:val="21"/>
        </w:rPr>
        <w:t xml:space="preserve">  施工场地具备施工条件的时间：开工前</w:t>
      </w:r>
      <w:r>
        <w:rPr>
          <w:rFonts w:ascii="宋体" w:hAnsi="宋体"/>
          <w:szCs w:val="21"/>
        </w:rPr>
        <w:t>5</w:t>
      </w:r>
      <w:r>
        <w:rPr>
          <w:rFonts w:hint="eastAsia" w:ascii="宋体" w:hAnsi="宋体"/>
          <w:szCs w:val="21"/>
        </w:rPr>
        <w:t>天内完成。</w:t>
      </w:r>
    </w:p>
    <w:p>
      <w:pPr>
        <w:adjustRightInd w:val="0"/>
        <w:snapToGrid w:val="0"/>
        <w:ind w:left="840" w:hanging="840" w:hangingChars="400"/>
        <w:jc w:val="left"/>
        <w:rPr>
          <w:rFonts w:ascii="宋体" w:hAnsi="宋体"/>
          <w:szCs w:val="21"/>
        </w:rPr>
      </w:pPr>
      <w:r>
        <w:rPr>
          <w:rFonts w:ascii="宋体" w:hAnsi="宋体"/>
          <w:szCs w:val="21"/>
        </w:rPr>
        <w:t>14.1.2</w:t>
      </w:r>
      <w:r>
        <w:rPr>
          <w:rFonts w:hint="eastAsia" w:ascii="宋体" w:hAnsi="宋体"/>
          <w:szCs w:val="21"/>
        </w:rPr>
        <w:t xml:space="preserve">  施工临时用水、用电，由甲方在开工前接至用地红线范围内，若发生二次迁移，产生费用由乙方承担。</w:t>
      </w:r>
    </w:p>
    <w:p>
      <w:pPr>
        <w:adjustRightInd w:val="0"/>
        <w:snapToGrid w:val="0"/>
        <w:ind w:left="840" w:hanging="840" w:hangingChars="400"/>
        <w:jc w:val="left"/>
        <w:rPr>
          <w:rFonts w:ascii="宋体" w:hAnsi="宋体"/>
          <w:szCs w:val="21"/>
        </w:rPr>
      </w:pPr>
      <w:r>
        <w:rPr>
          <w:rFonts w:ascii="宋体" w:hAnsi="宋体"/>
          <w:szCs w:val="21"/>
        </w:rPr>
        <w:t>14.2</w:t>
      </w:r>
      <w:r>
        <w:rPr>
          <w:rFonts w:hint="eastAsia" w:ascii="宋体" w:hAnsi="宋体"/>
          <w:szCs w:val="21"/>
        </w:rPr>
        <w:t xml:space="preserve">    甲方支付款项</w:t>
      </w:r>
    </w:p>
    <w:p>
      <w:pPr>
        <w:adjustRightInd w:val="0"/>
        <w:snapToGrid w:val="0"/>
        <w:ind w:left="840" w:hanging="840" w:hangingChars="400"/>
        <w:jc w:val="left"/>
        <w:rPr>
          <w:rFonts w:ascii="宋体" w:hAnsi="宋体"/>
          <w:szCs w:val="21"/>
        </w:rPr>
      </w:pPr>
      <w:r>
        <w:rPr>
          <w:rFonts w:ascii="宋体" w:hAnsi="宋体"/>
          <w:szCs w:val="21"/>
        </w:rPr>
        <w:t>14.2.1</w:t>
      </w:r>
      <w:r>
        <w:rPr>
          <w:rFonts w:hint="eastAsia" w:ascii="宋体" w:hAnsi="宋体"/>
          <w:szCs w:val="21"/>
        </w:rPr>
        <w:t xml:space="preserve">  支付期限</w:t>
      </w:r>
    </w:p>
    <w:p>
      <w:pPr>
        <w:adjustRightInd w:val="0"/>
        <w:snapToGrid w:val="0"/>
        <w:ind w:firstLine="315" w:firstLineChars="150"/>
        <w:jc w:val="left"/>
        <w:rPr>
          <w:rFonts w:ascii="宋体" w:hAnsi="宋体"/>
          <w:szCs w:val="21"/>
        </w:rPr>
      </w:pPr>
      <w:r>
        <w:rPr>
          <w:rFonts w:hint="eastAsia" w:ascii="宋体" w:hAnsi="宋体"/>
          <w:szCs w:val="21"/>
          <w:bdr w:val="single" w:color="auto" w:sz="4" w:space="0"/>
        </w:rPr>
        <w:t>√</w:t>
      </w:r>
      <w:r>
        <w:rPr>
          <w:rFonts w:ascii="宋体" w:hAnsi="宋体"/>
          <w:szCs w:val="21"/>
        </w:rPr>
        <w:t>按</w:t>
      </w:r>
      <w:r>
        <w:rPr>
          <w:rFonts w:hint="eastAsia" w:ascii="宋体" w:hAnsi="宋体"/>
          <w:szCs w:val="21"/>
        </w:rPr>
        <w:t>本合同协议书及专用条款支付的有关规定执行。</w:t>
      </w:r>
    </w:p>
    <w:p>
      <w:pPr>
        <w:adjustRightInd w:val="0"/>
        <w:snapToGrid w:val="0"/>
        <w:ind w:left="840" w:hanging="840" w:hangingChars="400"/>
        <w:jc w:val="left"/>
        <w:rPr>
          <w:rFonts w:ascii="宋体" w:hAnsi="宋体"/>
          <w:szCs w:val="21"/>
        </w:rPr>
      </w:pPr>
      <w:r>
        <w:rPr>
          <w:rFonts w:ascii="宋体" w:hAnsi="宋体"/>
          <w:szCs w:val="21"/>
        </w:rPr>
        <w:t>14.2.2</w:t>
      </w:r>
      <w:r>
        <w:rPr>
          <w:rFonts w:hint="eastAsia" w:ascii="宋体" w:hAnsi="宋体"/>
          <w:szCs w:val="21"/>
        </w:rPr>
        <w:t xml:space="preserve">  支付方式</w:t>
      </w:r>
    </w:p>
    <w:p>
      <w:pPr>
        <w:adjustRightInd w:val="0"/>
        <w:snapToGrid w:val="0"/>
        <w:ind w:left="840" w:leftChars="250" w:hanging="315" w:hangingChars="150"/>
        <w:jc w:val="left"/>
        <w:rPr>
          <w:rFonts w:ascii="宋体" w:hAnsi="宋体"/>
          <w:szCs w:val="21"/>
        </w:rPr>
      </w:pPr>
      <w:r>
        <w:rPr>
          <w:rFonts w:hint="eastAsia" w:ascii="宋体" w:hAnsi="宋体"/>
          <w:szCs w:val="21"/>
          <w:bdr w:val="single" w:color="auto" w:sz="4" w:space="0"/>
        </w:rPr>
        <w:t>√</w:t>
      </w:r>
      <w:r>
        <w:rPr>
          <w:rFonts w:hint="eastAsia" w:ascii="宋体" w:hAnsi="宋体"/>
          <w:szCs w:val="21"/>
        </w:rPr>
        <w:t xml:space="preserve"> 按本合同协议书所注明的账号银行转账。</w:t>
      </w:r>
      <w:r>
        <w:rPr>
          <w:rFonts w:hint="eastAsia" w:ascii="宋体" w:hAnsi="宋体"/>
          <w:bCs/>
          <w:szCs w:val="21"/>
        </w:rPr>
        <w:t>乙方应保证所提供资料、账号准确无误，若因开户名称、开户银行、银行账号有误，由此产生的一切纠纷和责任由乙方承担；如因账号资料有误而产生银行退票情形，乙方自愿承担当次付款金额的</w:t>
      </w:r>
      <w:r>
        <w:rPr>
          <w:rFonts w:ascii="宋体" w:hAnsi="宋体"/>
          <w:bCs/>
          <w:szCs w:val="21"/>
        </w:rPr>
        <w:t>10%</w:t>
      </w:r>
      <w:r>
        <w:rPr>
          <w:rFonts w:hint="eastAsia" w:ascii="宋体" w:hAnsi="宋体"/>
          <w:bCs/>
          <w:szCs w:val="21"/>
        </w:rPr>
        <w:t>但不高于人民币</w:t>
      </w:r>
      <w:r>
        <w:rPr>
          <w:rFonts w:ascii="宋体" w:hAnsi="宋体"/>
          <w:bCs/>
          <w:szCs w:val="21"/>
        </w:rPr>
        <w:t>5000</w:t>
      </w:r>
      <w:r>
        <w:rPr>
          <w:rFonts w:hint="eastAsia" w:ascii="宋体" w:hAnsi="宋体"/>
          <w:bCs/>
          <w:szCs w:val="21"/>
        </w:rPr>
        <w:t>元的管理费作为对甲方的补偿。乙方应于每次申请付款时提供上述付款资料证明。如乙方收款银行账号发生变更，也应及时书面通知甲方，否则由此产生的付款退票及一切后果均由乙方承担。</w:t>
      </w:r>
    </w:p>
    <w:p>
      <w:pPr>
        <w:adjustRightInd w:val="0"/>
        <w:snapToGrid w:val="0"/>
        <w:ind w:left="840" w:hanging="840" w:hangingChars="400"/>
        <w:jc w:val="left"/>
        <w:rPr>
          <w:rFonts w:ascii="宋体" w:hAnsi="宋体"/>
          <w:szCs w:val="21"/>
        </w:rPr>
      </w:pPr>
      <w:r>
        <w:rPr>
          <w:rFonts w:ascii="宋体" w:hAnsi="宋体"/>
          <w:szCs w:val="21"/>
        </w:rPr>
        <w:t>14.3</w:t>
      </w:r>
      <w:r>
        <w:rPr>
          <w:rFonts w:hint="eastAsia" w:ascii="宋体" w:hAnsi="宋体"/>
          <w:szCs w:val="21"/>
        </w:rPr>
        <w:t xml:space="preserve">    甲方提供资料</w:t>
      </w:r>
    </w:p>
    <w:p>
      <w:pPr>
        <w:adjustRightInd w:val="0"/>
        <w:snapToGrid w:val="0"/>
        <w:ind w:left="840" w:hanging="840" w:hangingChars="400"/>
        <w:jc w:val="left"/>
        <w:rPr>
          <w:rFonts w:ascii="宋体" w:hAnsi="宋体"/>
          <w:szCs w:val="21"/>
        </w:rPr>
      </w:pPr>
      <w:r>
        <w:rPr>
          <w:rFonts w:ascii="宋体" w:hAnsi="宋体"/>
          <w:szCs w:val="21"/>
        </w:rPr>
        <w:t>14.3.1</w:t>
      </w:r>
      <w:r>
        <w:rPr>
          <w:rFonts w:hint="eastAsia" w:ascii="宋体" w:hAnsi="宋体"/>
          <w:szCs w:val="21"/>
        </w:rPr>
        <w:t xml:space="preserve">  提供的时间：标准与规范由乙方自备。图纸根据实际进度情况提前提供。</w:t>
      </w:r>
    </w:p>
    <w:p>
      <w:pPr>
        <w:adjustRightInd w:val="0"/>
        <w:snapToGrid w:val="0"/>
        <w:ind w:left="840" w:hanging="840" w:hangingChars="400"/>
        <w:jc w:val="left"/>
        <w:rPr>
          <w:rFonts w:ascii="宋体" w:hAnsi="宋体"/>
          <w:szCs w:val="21"/>
        </w:rPr>
      </w:pPr>
      <w:r>
        <w:rPr>
          <w:rFonts w:ascii="宋体" w:hAnsi="宋体"/>
          <w:szCs w:val="21"/>
        </w:rPr>
        <w:t>14.3.2</w:t>
      </w:r>
      <w:r>
        <w:rPr>
          <w:rFonts w:hint="eastAsia" w:ascii="宋体" w:hAnsi="宋体"/>
          <w:szCs w:val="21"/>
        </w:rPr>
        <w:t xml:space="preserve">  提供的份数：施工图纸</w:t>
      </w:r>
      <w:r>
        <w:rPr>
          <w:rFonts w:hint="eastAsia" w:ascii="宋体" w:hAnsi="宋体"/>
          <w:szCs w:val="21"/>
          <w:u w:val="single"/>
        </w:rPr>
        <w:t>六</w:t>
      </w:r>
      <w:r>
        <w:rPr>
          <w:rFonts w:hint="eastAsia" w:ascii="宋体" w:hAnsi="宋体"/>
          <w:szCs w:val="21"/>
        </w:rPr>
        <w:t>套，其中用作竣工图</w:t>
      </w:r>
      <w:r>
        <w:rPr>
          <w:rFonts w:hint="eastAsia" w:ascii="宋体" w:hAnsi="宋体"/>
          <w:szCs w:val="21"/>
          <w:u w:val="single"/>
        </w:rPr>
        <w:t>三</w:t>
      </w:r>
      <w:r>
        <w:rPr>
          <w:rFonts w:hint="eastAsia" w:ascii="宋体" w:hAnsi="宋体"/>
          <w:szCs w:val="21"/>
        </w:rPr>
        <w:t>套。</w:t>
      </w:r>
    </w:p>
    <w:p>
      <w:pPr>
        <w:adjustRightInd w:val="0"/>
        <w:snapToGrid w:val="0"/>
        <w:ind w:left="840" w:hanging="840" w:hangingChars="400"/>
        <w:jc w:val="left"/>
        <w:rPr>
          <w:rFonts w:ascii="宋体" w:hAnsi="宋体"/>
          <w:szCs w:val="21"/>
        </w:rPr>
      </w:pPr>
      <w:r>
        <w:rPr>
          <w:rFonts w:hint="eastAsia" w:ascii="宋体" w:hAnsi="宋体"/>
          <w:szCs w:val="21"/>
        </w:rPr>
        <w:t>14.3.3  图纸调整：甲方有权对施工图进行调整及修改，并应及时将调整修改后的施工图通知发放给乙方予以施工。</w:t>
      </w:r>
    </w:p>
    <w:p>
      <w:pPr>
        <w:adjustRightInd w:val="0"/>
        <w:snapToGrid w:val="0"/>
        <w:ind w:left="840" w:hanging="840" w:hangingChars="400"/>
        <w:jc w:val="left"/>
        <w:rPr>
          <w:rFonts w:ascii="宋体" w:hAnsi="宋体"/>
          <w:szCs w:val="21"/>
        </w:rPr>
      </w:pPr>
      <w:r>
        <w:rPr>
          <w:rFonts w:hint="eastAsia" w:ascii="宋体" w:hAnsi="宋体"/>
          <w:szCs w:val="21"/>
        </w:rPr>
        <w:t>14.3.4  图纸会审：甲方有权根据工程实际情况及进度安排，组织乙方及其他单位进行图纸会审，并应在图纸会审前</w:t>
      </w:r>
      <w:r>
        <w:rPr>
          <w:rFonts w:hint="eastAsia" w:ascii="宋体" w:hAnsi="宋体"/>
          <w:szCs w:val="21"/>
          <w:u w:val="single"/>
        </w:rPr>
        <w:t>5</w:t>
      </w:r>
      <w:r>
        <w:rPr>
          <w:rFonts w:hint="eastAsia" w:ascii="宋体" w:hAnsi="宋体"/>
          <w:szCs w:val="21"/>
        </w:rPr>
        <w:t>个工作日向乙方发出书面会审通知。</w:t>
      </w:r>
    </w:p>
    <w:p>
      <w:pPr>
        <w:adjustRightInd w:val="0"/>
        <w:snapToGrid w:val="0"/>
        <w:ind w:left="840" w:hanging="840" w:hangingChars="400"/>
        <w:jc w:val="left"/>
        <w:rPr>
          <w:rFonts w:ascii="宋体" w:hAnsi="宋体"/>
          <w:szCs w:val="21"/>
        </w:rPr>
      </w:pPr>
      <w:r>
        <w:rPr>
          <w:rFonts w:ascii="宋体" w:hAnsi="宋体"/>
          <w:szCs w:val="21"/>
        </w:rPr>
        <w:t>14.4</w:t>
      </w:r>
      <w:r>
        <w:rPr>
          <w:rFonts w:hint="eastAsia" w:ascii="宋体" w:hAnsi="宋体"/>
          <w:szCs w:val="21"/>
        </w:rPr>
        <w:t xml:space="preserve">    甲方提供施工场地</w:t>
      </w:r>
    </w:p>
    <w:p>
      <w:pPr>
        <w:adjustRightInd w:val="0"/>
        <w:snapToGrid w:val="0"/>
        <w:ind w:left="840" w:hanging="840" w:hangingChars="400"/>
        <w:jc w:val="left"/>
        <w:rPr>
          <w:rFonts w:ascii="宋体" w:hAnsi="宋体"/>
          <w:szCs w:val="21"/>
        </w:rPr>
      </w:pPr>
      <w:r>
        <w:rPr>
          <w:rFonts w:ascii="宋体" w:hAnsi="宋体"/>
          <w:szCs w:val="21"/>
        </w:rPr>
        <w:t>14.4.1甲方应在</w:t>
      </w:r>
      <w:r>
        <w:rPr>
          <w:rFonts w:hint="eastAsia" w:ascii="宋体" w:hAnsi="宋体"/>
          <w:szCs w:val="21"/>
        </w:rPr>
        <w:t>开工前</w:t>
      </w:r>
      <w:r>
        <w:rPr>
          <w:rFonts w:ascii="宋体" w:hAnsi="宋体"/>
          <w:szCs w:val="21"/>
        </w:rPr>
        <w:t>5</w:t>
      </w:r>
      <w:r>
        <w:rPr>
          <w:rFonts w:hint="eastAsia" w:ascii="宋体" w:hAnsi="宋体"/>
          <w:szCs w:val="21"/>
        </w:rPr>
        <w:t>天内提供施工场地。</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15</w:t>
      </w:r>
      <w:r>
        <w:rPr>
          <w:rFonts w:hint="eastAsia" w:ascii="宋体" w:hAnsi="宋体"/>
          <w:b/>
          <w:szCs w:val="21"/>
        </w:rPr>
        <w:t>、乙方</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 xml:space="preserve">    乙方工作</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1  乙方应负责实施如下工作，该等工作所产生的费用均已包含在本合同价款总额内，甲方无需额外支付，前述工作具体包括：</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.1</w:t>
      </w:r>
      <w:r>
        <w:rPr>
          <w:rFonts w:hint="eastAsia" w:ascii="宋体" w:hAnsi="宋体"/>
          <w:szCs w:val="21"/>
        </w:rPr>
        <w:t>乙方必须按政府相关部门的规定对施工场地地下管线和邻近建筑物、构筑物（包括文物保护建筑）、古树名木等应当采取专项防护措施进行保护。如因乙方未进行保护或保护不力造成的损失，概由乙方负责。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.2</w:t>
      </w:r>
      <w:r>
        <w:rPr>
          <w:rFonts w:hint="eastAsia" w:ascii="宋体" w:hAnsi="宋体"/>
          <w:szCs w:val="21"/>
        </w:rPr>
        <w:t>已完工程成品保护的特殊要求：本工程在竣工验收移交前，施工场地范围内所有的乙方完成的成品、半成品保护工作均由乙方负责，如乙方对完成的成品及半成品保护不力造成的损失，概由乙方承担。非乙方施工范围的成品保护，乙方应督促各分包单位进行成品保护，并协助甲方监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.3</w:t>
      </w:r>
      <w:r>
        <w:rPr>
          <w:rFonts w:hint="eastAsia" w:ascii="宋体" w:hAnsi="宋体"/>
          <w:szCs w:val="21"/>
        </w:rPr>
        <w:t>施工现场乙方产生的垃圾</w:t>
      </w:r>
      <w:r>
        <w:rPr>
          <w:rFonts w:hint="eastAsia" w:ascii="宋体" w:hAnsi="宋体"/>
          <w:szCs w:val="21"/>
          <w:shd w:val="clear" w:color="auto" w:fill="FFFFFF"/>
        </w:rPr>
        <w:t>（包括</w:t>
      </w:r>
      <w:r>
        <w:rPr>
          <w:rFonts w:hint="eastAsia" w:ascii="宋体" w:hAnsi="宋体"/>
          <w:szCs w:val="21"/>
        </w:rPr>
        <w:t>各工作面上的垃圾）由乙方按甲方要求及时清理，定点堆放，并及时清运；乙方应为</w:t>
      </w:r>
      <w:bookmarkStart w:id="106" w:name="OLE_LINK9"/>
      <w:r>
        <w:rPr>
          <w:rFonts w:hint="eastAsia" w:ascii="宋体" w:hAnsi="宋体"/>
          <w:szCs w:val="21"/>
        </w:rPr>
        <w:t>甲方的指定分包单位</w:t>
      </w:r>
      <w:bookmarkEnd w:id="106"/>
      <w:r>
        <w:rPr>
          <w:rFonts w:hint="eastAsia" w:ascii="宋体" w:hAnsi="宋体"/>
          <w:szCs w:val="21"/>
        </w:rPr>
        <w:t>提供垃圾堆放场（此费用已经包含在管理及配合费用中），并监督甲方指定分包单位之垃圾收集堆放工作；乙方负责将分包单位及其自身的施工垃圾清运出工地外。</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.4</w:t>
      </w:r>
      <w:r>
        <w:rPr>
          <w:rFonts w:hint="eastAsia" w:ascii="宋体" w:hAnsi="宋体"/>
          <w:szCs w:val="21"/>
        </w:rPr>
        <w:t>乙方应保证本工程的施工满足国家相关规范及</w:t>
      </w:r>
      <w:r>
        <w:rPr>
          <w:rFonts w:hint="eastAsia" w:ascii="宋体" w:hAnsi="宋体"/>
          <w:szCs w:val="21"/>
          <w:u w:val="single"/>
        </w:rPr>
        <w:t>附件四《施工现场安全文明管理规定》</w:t>
      </w:r>
      <w:r>
        <w:rPr>
          <w:rFonts w:hint="eastAsia" w:ascii="宋体" w:hAnsi="宋体"/>
          <w:szCs w:val="21"/>
        </w:rPr>
        <w:t>之各项要求。</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.5</w:t>
      </w:r>
      <w:r>
        <w:rPr>
          <w:rFonts w:hint="eastAsia" w:ascii="宋体" w:hAnsi="宋体"/>
          <w:szCs w:val="21"/>
        </w:rPr>
        <w:t>本工程乙方承包范围内的所有的洞口及管线槽的打凿（包括但不限于电梯外招孔管线洞口等）、封堵（包括有防水要求部位封堵），门窗洞口、预留洞口及管线槽的抹灰、防水、饰面、收边（包括但不仅限于烟道、管井门门边、防火门门边、入户门门边、穿墙或楼板的管道和风管孔、电梯门、门窗节点、地漏等）均由乙方负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.6</w:t>
      </w:r>
      <w:r>
        <w:rPr>
          <w:rFonts w:hint="eastAsia" w:ascii="宋体" w:hAnsi="宋体"/>
          <w:szCs w:val="21"/>
        </w:rPr>
        <w:t>乙方的脚手架搭设方案必须通过甲方及监理单位的审批和专家论证，乙方编制脚手架搭设方案时应充分综合考虑各分包单位的使用需求。乙方应提供现有脚手架给各分包单位无偿使用，如因现有脚手架不能满足分包单位需求，导致局部脚手架需要调整的，乙方须积极配合执行。</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7对季节性降雨所产生的抽排水、高温等问题，乙方必须采取预防措施，由此发生的全部费用均包含在本合同价款以及安全文明施工措施费中，甲方不再承担。</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8乙方在施工过程中，因设计变更或现场签证涉及到可重复利用的材料时，应在拆除前与甲方商定材料的可重复利用率，否则视为乙方</w:t>
      </w:r>
      <w:r>
        <w:rPr>
          <w:rFonts w:ascii="宋体" w:hAnsi="宋体"/>
          <w:szCs w:val="21"/>
        </w:rPr>
        <w:t>100%的回收利用。</w:t>
      </w:r>
    </w:p>
    <w:p>
      <w:pPr>
        <w:pStyle w:val="29"/>
        <w:adjustRightInd w:val="0"/>
        <w:snapToGrid w:val="0"/>
        <w:ind w:left="893" w:hanging="892" w:hangingChars="425"/>
        <w:jc w:val="left"/>
        <w:rPr>
          <w:rFonts w:hAnsi="宋体"/>
          <w:sz w:val="21"/>
          <w:szCs w:val="21"/>
        </w:rPr>
      </w:pPr>
      <w:r>
        <w:rPr>
          <w:rFonts w:hint="eastAsia" w:hAnsi="宋体"/>
          <w:sz w:val="21"/>
          <w:szCs w:val="21"/>
        </w:rPr>
        <w:t>15.1.1.9乙方在基础施工过程中，须充分考虑配合桩基础检测场地的土石方堆放，如因乙方考虑不周导致场内土石方转堆或二次转运的，由此所产生的全部费用均由乙方自行承担。</w:t>
      </w:r>
    </w:p>
    <w:p>
      <w:pPr>
        <w:adjustRightInd w:val="0"/>
        <w:snapToGrid w:val="0"/>
        <w:ind w:left="998" w:hanging="997" w:hangingChars="475"/>
        <w:jc w:val="left"/>
        <w:rPr>
          <w:rFonts w:ascii="宋体" w:hAnsi="宋体"/>
          <w:szCs w:val="21"/>
        </w:rPr>
      </w:pPr>
      <w:r>
        <w:rPr>
          <w:rFonts w:hint="eastAsia" w:ascii="宋体" w:hAnsi="宋体"/>
          <w:szCs w:val="21"/>
        </w:rPr>
        <w:t>15.1.1.10乙方有义务配合设备基础及图纸上其他预埋件的预埋施工及各类配合单位洞口封堵，并提供必要的材料（比如水泥砂浆等）。</w:t>
      </w:r>
    </w:p>
    <w:p>
      <w:pPr>
        <w:adjustRightInd w:val="0"/>
        <w:snapToGrid w:val="0"/>
        <w:ind w:left="998" w:hanging="997" w:hangingChars="475"/>
        <w:jc w:val="left"/>
        <w:rPr>
          <w:rFonts w:ascii="宋体" w:hAnsi="宋体"/>
          <w:szCs w:val="21"/>
        </w:rPr>
      </w:pPr>
      <w:r>
        <w:rPr>
          <w:rFonts w:hint="eastAsia" w:ascii="宋体" w:hAnsi="宋体"/>
          <w:szCs w:val="21"/>
        </w:rPr>
        <w:t>15.1.1.11乙方自行安装施工用水、电表（经监理工程师及甲方检查合格并符合有关国家规范及政府监督部门要求）。施工场地内水电由乙方根据施工需要自行解决。每月施工的水电费按水表、电表实际用量以及市自来水公司、市供电局规定的施工用水、用电单价（含税金）计算，并且前述水电费均每月由乙方自行缴交（包括总表后损耗）。无论任何原因，逾期不缴造成现场停水停电，甲方将保留因此造成的损失（工期、质量等）的索赔权利。</w:t>
      </w:r>
    </w:p>
    <w:p>
      <w:pPr>
        <w:adjustRightInd w:val="0"/>
        <w:snapToGrid w:val="0"/>
        <w:ind w:left="998" w:hanging="997" w:hangingChars="475"/>
        <w:jc w:val="left"/>
        <w:rPr>
          <w:rFonts w:ascii="宋体" w:hAnsi="宋体"/>
          <w:szCs w:val="21"/>
        </w:rPr>
      </w:pPr>
      <w:r>
        <w:rPr>
          <w:rFonts w:hint="eastAsia" w:ascii="宋体" w:hAnsi="宋体"/>
          <w:szCs w:val="21"/>
        </w:rPr>
        <w:t xml:space="preserve">15.1.1.12乙方应负责工地现场临时设施、道路、管线的施工和保养。乙方从甲方指定的水电接驳点接驳施工用水用电，并在工程施工过程中对红线内地下管线、临近建筑物及市政设施采取专项保护措施。 </w:t>
      </w:r>
    </w:p>
    <w:p>
      <w:pPr>
        <w:adjustRightInd w:val="0"/>
        <w:snapToGrid w:val="0"/>
        <w:ind w:left="998" w:hanging="997" w:hangingChars="475"/>
        <w:jc w:val="left"/>
        <w:rPr>
          <w:rFonts w:ascii="宋体" w:hAnsi="宋体"/>
          <w:szCs w:val="21"/>
        </w:rPr>
      </w:pPr>
      <w:r>
        <w:rPr>
          <w:rFonts w:hint="eastAsia" w:ascii="宋体" w:hAnsi="宋体"/>
          <w:szCs w:val="21"/>
        </w:rPr>
        <w:t>15.1.1.13乙方应按合同约定内容，为甲、乙双方分包的工程提供配合和管理，对甲乙双方分包的工程进行施工总协调，参加甲方分包工程验收和竣工验收，并对整体工程的施工质量和工期负责。</w:t>
      </w:r>
    </w:p>
    <w:p>
      <w:pPr>
        <w:adjustRightInd w:val="0"/>
        <w:snapToGrid w:val="0"/>
        <w:ind w:left="998" w:hanging="997" w:hangingChars="475"/>
        <w:jc w:val="left"/>
        <w:rPr>
          <w:rFonts w:ascii="宋体" w:hAnsi="宋体"/>
          <w:szCs w:val="21"/>
        </w:rPr>
      </w:pPr>
      <w:r>
        <w:rPr>
          <w:rFonts w:hint="eastAsia" w:ascii="宋体" w:hAnsi="宋体"/>
          <w:szCs w:val="21"/>
        </w:rPr>
        <w:t>15.1.1.14工程未正式移交给甲方前，乙方负责已完工程的成品保护工作。</w:t>
      </w:r>
    </w:p>
    <w:p>
      <w:pPr>
        <w:adjustRightInd w:val="0"/>
        <w:snapToGrid w:val="0"/>
        <w:ind w:left="1837" w:leftChars="500" w:hanging="787" w:hangingChars="375"/>
        <w:jc w:val="left"/>
        <w:rPr>
          <w:rFonts w:ascii="宋体" w:hAnsi="宋体"/>
          <w:szCs w:val="21"/>
        </w:rPr>
      </w:pPr>
      <w:r>
        <w:rPr>
          <w:rFonts w:hint="eastAsia" w:ascii="宋体" w:hAnsi="宋体"/>
          <w:szCs w:val="21"/>
        </w:rPr>
        <w:t>如成品发生损坏或丢失的，乙方负责修复或赔偿。</w:t>
      </w:r>
    </w:p>
    <w:p>
      <w:pPr>
        <w:adjustRightInd w:val="0"/>
        <w:snapToGrid w:val="0"/>
        <w:ind w:left="998" w:hanging="997" w:hangingChars="475"/>
        <w:jc w:val="left"/>
        <w:rPr>
          <w:rFonts w:ascii="宋体" w:hAnsi="宋体"/>
          <w:szCs w:val="21"/>
        </w:rPr>
      </w:pPr>
      <w:r>
        <w:rPr>
          <w:rFonts w:hint="eastAsia" w:ascii="宋体" w:hAnsi="宋体"/>
          <w:szCs w:val="21"/>
        </w:rPr>
        <w:t>15.1.1.15为了维护工程项目的形象，工程项目全部建筑物的安全网应采用阻燃密目式安全网，严禁采用不合格的安全网。如因施工过程中破损，因及时恢复及更换，各楼层必须按要求设置踢脚板等。所有钢管必须按要求经过除锈及刷油漆处理。</w:t>
      </w:r>
    </w:p>
    <w:p>
      <w:pPr>
        <w:adjustRightInd w:val="0"/>
        <w:snapToGrid w:val="0"/>
        <w:ind w:left="1050" w:hanging="1050" w:hangingChars="500"/>
        <w:jc w:val="left"/>
        <w:rPr>
          <w:rFonts w:ascii="宋体" w:hAnsi="宋体"/>
          <w:szCs w:val="21"/>
        </w:rPr>
      </w:pPr>
      <w:r>
        <w:rPr>
          <w:rFonts w:hint="eastAsia" w:ascii="宋体" w:hAnsi="宋体"/>
          <w:szCs w:val="21"/>
        </w:rPr>
        <w:t>15.1.1.16乙方应在工程竣工后</w:t>
      </w:r>
      <w:r>
        <w:rPr>
          <w:rFonts w:hint="eastAsia" w:ascii="宋体" w:hAnsi="宋体"/>
          <w:szCs w:val="21"/>
          <w:u w:val="single"/>
        </w:rPr>
        <w:t>20</w:t>
      </w:r>
      <w:r>
        <w:rPr>
          <w:rFonts w:hint="eastAsia" w:ascii="宋体" w:hAnsi="宋体"/>
          <w:szCs w:val="21"/>
        </w:rPr>
        <w:t>天内完成拆除临建、清理现场，如超过20天，甲方有权解除本合同。</w:t>
      </w:r>
    </w:p>
    <w:p>
      <w:pPr>
        <w:adjustRightInd w:val="0"/>
        <w:snapToGrid w:val="0"/>
        <w:ind w:left="1050" w:hanging="1050" w:hangingChars="500"/>
        <w:jc w:val="left"/>
        <w:rPr>
          <w:rFonts w:ascii="宋体" w:hAnsi="宋体"/>
          <w:szCs w:val="21"/>
        </w:rPr>
      </w:pPr>
      <w:r>
        <w:rPr>
          <w:rFonts w:hint="eastAsia" w:ascii="宋体" w:hAnsi="宋体"/>
          <w:szCs w:val="21"/>
        </w:rPr>
        <w:t>15.1.1.17为保证工程竣工资料的完整性及统一性，乙方负责收集、审核、汇总、整理本工程的所有甲方分包及甲供材料的竣工资料，并负责办理本工程竣工验收资料的审查、报送、完成竣工备案工作。</w:t>
      </w:r>
    </w:p>
    <w:p>
      <w:pPr>
        <w:adjustRightInd w:val="0"/>
        <w:snapToGrid w:val="0"/>
        <w:ind w:left="1050" w:hanging="1050" w:hangingChars="500"/>
        <w:jc w:val="left"/>
        <w:rPr>
          <w:rFonts w:ascii="宋体" w:hAnsi="宋体"/>
          <w:szCs w:val="21"/>
        </w:rPr>
      </w:pPr>
      <w:r>
        <w:rPr>
          <w:rFonts w:hint="eastAsia" w:ascii="宋体" w:hAnsi="宋体"/>
          <w:szCs w:val="21"/>
        </w:rPr>
        <w:t>15.1.1.18乙方必须无条件确保施工工人工资得到及时发放，并采取切实可行的措施确保无劳资纠纷事件发生，乙方每次款项申请时，要提交已支付工人工资证明材料，经监理及工程管理中心核对，审核后，作为请款依据。</w:t>
      </w:r>
    </w:p>
    <w:p>
      <w:pPr>
        <w:adjustRightInd w:val="0"/>
        <w:snapToGrid w:val="0"/>
        <w:ind w:left="1050" w:hanging="1050" w:hangingChars="500"/>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19乙方在符合合同要求所许可的范围内，在进行施工以及修补其任何缺陷所必须的一切操作时，不应给公众的便利、公用道路及场所以及属于建设单位或任何单位所属的道路的进出、使用等各方带来不必要和不适当的干扰，否则所造成的责任及后果均由乙方自行承担。</w:t>
      </w:r>
    </w:p>
    <w:p>
      <w:pPr>
        <w:adjustRightInd w:val="0"/>
        <w:snapToGrid w:val="0"/>
        <w:ind w:left="1050" w:hanging="1050" w:hangingChars="500"/>
        <w:jc w:val="left"/>
        <w:rPr>
          <w:rFonts w:ascii="宋体" w:hAnsi="宋体"/>
          <w:szCs w:val="21"/>
        </w:rPr>
      </w:pPr>
      <w:r>
        <w:rPr>
          <w:rFonts w:hint="eastAsia" w:ascii="宋体" w:hAnsi="宋体"/>
          <w:szCs w:val="21"/>
        </w:rPr>
        <w:t>15.1.1.20乙方在本合同工程施工期间，因公安、交警、城管等执法部门规定白天不准行车或晚上城市主干道不准行车所带来不便等问题，均由乙方自行协调，乙方不能要求追加任何费用，更不能据此延误工期。</w:t>
      </w:r>
    </w:p>
    <w:p>
      <w:pPr>
        <w:adjustRightInd w:val="0"/>
        <w:snapToGrid w:val="0"/>
        <w:ind w:left="1050" w:hanging="1050" w:hangingChars="500"/>
        <w:jc w:val="left"/>
        <w:rPr>
          <w:rFonts w:ascii="宋体" w:hAnsi="宋体"/>
          <w:szCs w:val="21"/>
        </w:rPr>
      </w:pPr>
      <w:r>
        <w:rPr>
          <w:rFonts w:hint="eastAsia" w:ascii="宋体" w:hAnsi="宋体"/>
          <w:szCs w:val="21"/>
        </w:rPr>
        <w:t>15.1.1.21乙方在本合同工程施工期间，因乙方原因对周边环境和人员造成影响可能引起的赔偿，均由乙方自行承担。</w:t>
      </w:r>
    </w:p>
    <w:p>
      <w:pPr>
        <w:adjustRightInd w:val="0"/>
        <w:snapToGrid w:val="0"/>
        <w:ind w:left="1050" w:hanging="1050" w:hangingChars="500"/>
        <w:jc w:val="left"/>
        <w:rPr>
          <w:rFonts w:ascii="宋体" w:hAnsi="宋体"/>
          <w:szCs w:val="21"/>
        </w:rPr>
      </w:pPr>
      <w:r>
        <w:rPr>
          <w:rFonts w:hint="eastAsia" w:ascii="宋体" w:hAnsi="宋体"/>
          <w:szCs w:val="21"/>
        </w:rPr>
        <w:t>15.1.1.22乙方在本合同工程施工期间，应当严格遵守消防部门的有关规定，并自行承担费用配备足够的消防设施。</w:t>
      </w:r>
    </w:p>
    <w:p>
      <w:pPr>
        <w:adjustRightInd w:val="0"/>
        <w:snapToGrid w:val="0"/>
        <w:ind w:left="840" w:hanging="840" w:hangingChars="400"/>
        <w:jc w:val="left"/>
        <w:rPr>
          <w:rFonts w:ascii="宋体" w:hAnsi="宋体"/>
          <w:szCs w:val="21"/>
        </w:rPr>
      </w:pPr>
      <w:r>
        <w:rPr>
          <w:rFonts w:hint="eastAsia" w:ascii="宋体" w:hAnsi="宋体"/>
          <w:szCs w:val="21"/>
        </w:rPr>
        <w:t>15.1.1.23协助甲方办理开工所需的所有手续。</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2 甲方安排的与本工程相关的、临时性、突击性的工程（含零星修补、更改等工程），乙方有义务按甲方要求安排足够的人员、机械、材料进行施工，并确保按甲方要求的质量、进度完成，乙方不能拒绝。</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3  乙方须指定代表且必须每月连同工程质量管理人员、安全管理人员对本工程进行例行检查，并形成书面检查报告上报监理单位及甲方，否则视为乙方一般违约。</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4  乙方必须按甲方及监理要求参加月度、周度工程例会、图纸会审、专项会议等等，并按时提交例会工作记录、会审记录以及会议纪要，否则视为乙方一般违约。</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5  乙方负责本工程所需的各种报建手续之办理。</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6  无论何种原因导致本合同终止或解除的，乙方必须在</w:t>
      </w:r>
      <w:r>
        <w:rPr>
          <w:rFonts w:ascii="宋体" w:hAnsi="宋体"/>
          <w:szCs w:val="21"/>
        </w:rPr>
        <w:t>7天内完全退场，工程及剩余物资均由甲方无偿接管及接收。</w:t>
      </w:r>
    </w:p>
    <w:p>
      <w:pPr>
        <w:pStyle w:val="419"/>
        <w:adjustRightInd w:val="0"/>
        <w:snapToGrid w:val="0"/>
        <w:ind w:left="840" w:hanging="840" w:hangingChars="400"/>
        <w:jc w:val="left"/>
        <w:rPr>
          <w:rFonts w:ascii="宋体" w:hAnsi="宋体"/>
          <w:szCs w:val="21"/>
        </w:rPr>
      </w:pPr>
      <w:r>
        <w:rPr>
          <w:rFonts w:hint="eastAsia" w:ascii="宋体" w:hAnsi="宋体"/>
          <w:szCs w:val="21"/>
        </w:rPr>
        <w:t xml:space="preserve">15.1.7  </w:t>
      </w:r>
      <w:r>
        <w:rPr>
          <w:rFonts w:ascii="宋体" w:hAnsi="宋体"/>
          <w:szCs w:val="21"/>
        </w:rPr>
        <w:t>乙方</w:t>
      </w:r>
      <w:r>
        <w:rPr>
          <w:rFonts w:hint="eastAsia" w:ascii="宋体" w:hAnsi="宋体"/>
          <w:szCs w:val="21"/>
        </w:rPr>
        <w:t>有关本工程的铝合金门窗工作的相关费用已包含在本合同价款总额内，甲方无需额外支付。本工程的铝合金门窗工程由乙方负责施工，乙方应严格按照国家、工程所在地及/或行业标准实施铝合金门窗施工工作，具体要求为：</w:t>
      </w:r>
    </w:p>
    <w:p>
      <w:pPr>
        <w:pStyle w:val="419"/>
        <w:adjustRightInd w:val="0"/>
        <w:snapToGrid w:val="0"/>
        <w:ind w:left="840" w:hanging="840" w:hangingChars="400"/>
        <w:jc w:val="left"/>
        <w:rPr>
          <w:rFonts w:ascii="宋体" w:hAnsi="宋体"/>
          <w:szCs w:val="21"/>
        </w:rPr>
      </w:pPr>
      <w:r>
        <w:rPr>
          <w:rFonts w:hint="eastAsia" w:ascii="宋体" w:hAnsi="宋体"/>
          <w:szCs w:val="21"/>
        </w:rPr>
        <w:t>15.1.7.1符合现行建筑安装工程中有关铝合金门窗工程施工及验收规范、标准、规程。</w:t>
      </w:r>
    </w:p>
    <w:p>
      <w:pPr>
        <w:pStyle w:val="419"/>
        <w:adjustRightInd w:val="0"/>
        <w:snapToGrid w:val="0"/>
        <w:ind w:left="840" w:hanging="840" w:hangingChars="400"/>
        <w:jc w:val="left"/>
        <w:rPr>
          <w:rFonts w:ascii="宋体" w:hAnsi="宋体"/>
          <w:szCs w:val="21"/>
        </w:rPr>
      </w:pPr>
      <w:r>
        <w:rPr>
          <w:rFonts w:hint="eastAsia" w:ascii="宋体" w:hAnsi="宋体"/>
          <w:szCs w:val="21"/>
        </w:rPr>
        <w:t>15.1.7.2铝合金门窗的加工厂须经甲方考察认可，具备足够的制安能力，且近三年来须承担过与本招标工程类似的施工项目。</w:t>
      </w:r>
    </w:p>
    <w:p>
      <w:pPr>
        <w:pStyle w:val="419"/>
        <w:adjustRightInd w:val="0"/>
        <w:snapToGrid w:val="0"/>
        <w:ind w:left="840" w:hanging="840" w:hangingChars="400"/>
        <w:jc w:val="left"/>
        <w:rPr>
          <w:rFonts w:ascii="宋体" w:hAnsi="宋体"/>
          <w:szCs w:val="21"/>
        </w:rPr>
      </w:pPr>
      <w:r>
        <w:rPr>
          <w:rFonts w:hint="eastAsia" w:ascii="宋体" w:hAnsi="宋体"/>
          <w:szCs w:val="21"/>
        </w:rPr>
        <w:t>15.1.7.3 铝合金门窗必须满足强度、刚度和稳定性要求，且门窗安装后各方向推拉时门窗主体不得晃动。</w:t>
      </w:r>
    </w:p>
    <w:p>
      <w:pPr>
        <w:pStyle w:val="419"/>
        <w:adjustRightInd w:val="0"/>
        <w:snapToGrid w:val="0"/>
        <w:ind w:left="840" w:hanging="840" w:hangingChars="400"/>
        <w:jc w:val="left"/>
        <w:rPr>
          <w:rFonts w:ascii="宋体" w:hAnsi="宋体"/>
          <w:szCs w:val="21"/>
        </w:rPr>
      </w:pPr>
      <w:r>
        <w:rPr>
          <w:rFonts w:hint="eastAsia" w:ascii="宋体" w:hAnsi="宋体"/>
          <w:szCs w:val="21"/>
        </w:rPr>
        <w:t>15.1.7.4门窗安装时，必须保证塞缝质量，两次塞缝均要保证饱满，严禁有孔隙；钢、铝型材必须做必要的防腐、防锈处理。</w:t>
      </w:r>
    </w:p>
    <w:p>
      <w:pPr>
        <w:pStyle w:val="419"/>
        <w:adjustRightInd w:val="0"/>
        <w:snapToGrid w:val="0"/>
        <w:ind w:left="840" w:hanging="840" w:hangingChars="400"/>
        <w:jc w:val="left"/>
        <w:rPr>
          <w:rFonts w:ascii="宋体" w:hAnsi="宋体"/>
          <w:szCs w:val="21"/>
        </w:rPr>
      </w:pPr>
      <w:r>
        <w:rPr>
          <w:rFonts w:hint="eastAsia" w:ascii="宋体" w:hAnsi="宋体"/>
          <w:szCs w:val="21"/>
        </w:rPr>
        <w:t>15.1.7.5门窗结构型材壁厚需满足图纸及规范的要求，型材表面处理须达到甲方要求。</w:t>
      </w:r>
    </w:p>
    <w:p>
      <w:pPr>
        <w:adjustRightInd w:val="0"/>
        <w:snapToGrid w:val="0"/>
        <w:ind w:left="840" w:hanging="840" w:hangingChars="400"/>
        <w:rPr>
          <w:rFonts w:ascii="宋体" w:hAnsi="宋体"/>
          <w:szCs w:val="21"/>
        </w:rPr>
      </w:pPr>
      <w:r>
        <w:rPr>
          <w:rFonts w:ascii="宋体" w:hAnsi="宋体"/>
          <w:szCs w:val="21"/>
        </w:rPr>
        <w:t>15.</w:t>
      </w:r>
      <w:r>
        <w:rPr>
          <w:rFonts w:hint="eastAsia" w:ascii="宋体" w:hAnsi="宋体"/>
          <w:szCs w:val="21"/>
        </w:rPr>
        <w:t>5    乙方提供设计图纸及其责任（若有）。</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.1</w:t>
      </w:r>
      <w:r>
        <w:rPr>
          <w:rFonts w:hint="eastAsia" w:ascii="宋体" w:hAnsi="宋体"/>
          <w:szCs w:val="21"/>
        </w:rPr>
        <w:t xml:space="preserve">  总包范围内需深化设计的工程均由乙方负责，由此发生的全部费用已包含在本合同价款内，</w:t>
      </w:r>
      <w:r>
        <w:rPr>
          <w:rFonts w:hint="eastAsia" w:ascii="宋体" w:hAnsi="宋体"/>
          <w:snapToGrid w:val="0"/>
          <w:kern w:val="0"/>
          <w:szCs w:val="21"/>
        </w:rPr>
        <w:t>甲方无需另行支付。若因深化设计导致工程量发生变化的，本合同工程价款不予调整。</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.2</w:t>
      </w:r>
      <w:r>
        <w:rPr>
          <w:rFonts w:hint="eastAsia" w:ascii="宋体" w:hAnsi="宋体"/>
          <w:szCs w:val="21"/>
        </w:rPr>
        <w:t xml:space="preserve">  乙方提供设计的时间：施工前两个月。</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.3乙方对于部分工程，例如：铝合金门窗工程，现场销售通道的</w:t>
      </w:r>
      <w:r>
        <w:rPr>
          <w:rFonts w:hint="eastAsia" w:ascii="宋体" w:hAnsi="宋体"/>
          <w:szCs w:val="21"/>
        </w:rPr>
        <w:t>搭拆、各类金属工程，应按甲方要求在工程施工前</w:t>
      </w:r>
      <w:r>
        <w:rPr>
          <w:rFonts w:ascii="宋体" w:hAnsi="宋体"/>
          <w:szCs w:val="21"/>
        </w:rPr>
        <w:t>2个月提供深化图纸，经监理单位及甲方审核通过后方可进行施工。如因没有及时提供深化图纸而影响工程进度的，视为乙方严重违约。</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.4乙方每月或每两周汇总施工前遇到的设计问题（对于1-2月后的工程量），并提交给监理单位。</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.5乙</w:t>
      </w:r>
      <w:r>
        <w:rPr>
          <w:rFonts w:hint="eastAsia" w:ascii="宋体" w:hAnsi="宋体"/>
          <w:szCs w:val="21"/>
        </w:rPr>
        <w:t>方</w:t>
      </w:r>
      <w:r>
        <w:rPr>
          <w:rFonts w:ascii="宋体" w:hAnsi="宋体"/>
          <w:szCs w:val="21"/>
        </w:rPr>
        <w:t>应在施工前认真阅读施工图纸，如图纸出现不清晰或</w:t>
      </w:r>
      <w:r>
        <w:rPr>
          <w:rFonts w:hint="eastAsia" w:ascii="宋体" w:hAnsi="宋体"/>
          <w:szCs w:val="21"/>
        </w:rPr>
        <w:t>存在矛盾等问题的，均应在图纸会审前7天</w:t>
      </w:r>
      <w:r>
        <w:rPr>
          <w:rFonts w:ascii="宋体" w:hAnsi="宋体"/>
          <w:szCs w:val="21"/>
        </w:rPr>
        <w:t>以书面方式</w:t>
      </w:r>
      <w:r>
        <w:rPr>
          <w:rFonts w:hint="eastAsia" w:ascii="宋体" w:hAnsi="宋体"/>
          <w:szCs w:val="21"/>
        </w:rPr>
        <w:t>向甲方提交设计图纸质疑，同时，乙方还应在图纸会审后3天内完成“图纸会审记录”的整理并提交甲方确认，若乙方未及时提交前述信息或资料的，视为乙方一般违约。</w:t>
      </w:r>
    </w:p>
    <w:p>
      <w:pPr>
        <w:adjustRightInd w:val="0"/>
        <w:snapToGrid w:val="0"/>
        <w:ind w:left="840" w:hanging="840" w:hangingChars="400"/>
        <w:jc w:val="left"/>
        <w:rPr>
          <w:rFonts w:ascii="宋体" w:hAnsi="宋体"/>
          <w:szCs w:val="21"/>
        </w:rPr>
      </w:pPr>
      <w:r>
        <w:rPr>
          <w:rFonts w:hint="eastAsia" w:ascii="宋体" w:hAnsi="宋体"/>
          <w:szCs w:val="21"/>
        </w:rPr>
        <w:t>15.5.6  乙方应在收到甲方施工图调整通知后，及时根据甲方调整修改后的施工图调整施工方案并照此施工，否则，造成工程实体与调整修改后施工图存在任何偏差或不一致之处的，则视为乙方一般违约。</w:t>
      </w:r>
    </w:p>
    <w:p>
      <w:pPr>
        <w:adjustRightInd w:val="0"/>
        <w:snapToGrid w:val="0"/>
        <w:ind w:left="840" w:hanging="840" w:hangingChars="400"/>
        <w:jc w:val="left"/>
        <w:rPr>
          <w:rFonts w:ascii="宋体" w:hAnsi="宋体"/>
          <w:szCs w:val="21"/>
        </w:rPr>
      </w:pPr>
      <w:r>
        <w:rPr>
          <w:rFonts w:hint="eastAsia" w:ascii="宋体" w:hAnsi="宋体"/>
          <w:szCs w:val="21"/>
        </w:rPr>
        <w:t>15.5.8  施工过程中，乙方对图纸有不理解及存在疑问之处的，或者认为施工图中存在专业间矛盾、尺寸错误、图纸不符、功能性问题及不符合国家强制性规范等问题的，或者根据自己的经验判断按图施工将可能发生质量问题的，乙方均应在相关工序开始施工前3周以书面形式向甲方提出。若乙方隐瞒不报、推诿或未按图施工的，除视为乙方一般违约外，由此产生的工期延误、返工费用及工程事故等责任均由乙方承担。</w:t>
      </w:r>
    </w:p>
    <w:p>
      <w:pPr>
        <w:adjustRightInd w:val="0"/>
        <w:snapToGrid w:val="0"/>
        <w:ind w:left="840" w:hanging="840" w:hangingChars="400"/>
        <w:jc w:val="left"/>
        <w:rPr>
          <w:rFonts w:ascii="宋体" w:hAnsi="宋体"/>
          <w:szCs w:val="21"/>
        </w:rPr>
      </w:pPr>
      <w:r>
        <w:rPr>
          <w:rFonts w:hint="eastAsia" w:ascii="宋体" w:hAnsi="宋体"/>
          <w:szCs w:val="21"/>
        </w:rPr>
        <w:t>15.5.9  图纸会审完成后20天内，乙方应完成专业预留预埋图交监理单位和甲方审查，若乙方不能按时提交预留预埋图、或者因预留预埋图不准确或遗漏造成主体完工后凿打结构的，除视为乙方一般违约外，乙方还应无条件予以返工，且工期不予顺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17</w:t>
      </w:r>
      <w:r>
        <w:rPr>
          <w:rFonts w:hint="eastAsia" w:ascii="宋体" w:hAnsi="宋体"/>
          <w:b/>
          <w:szCs w:val="21"/>
        </w:rPr>
        <w:t>、甲方代表</w:t>
      </w:r>
    </w:p>
    <w:p>
      <w:pPr>
        <w:adjustRightInd w:val="0"/>
        <w:snapToGrid w:val="0"/>
        <w:ind w:left="945" w:hanging="945" w:hangingChars="450"/>
        <w:rPr>
          <w:rFonts w:ascii="宋体" w:hAnsi="宋体"/>
          <w:szCs w:val="21"/>
        </w:rPr>
      </w:pPr>
      <w:r>
        <w:rPr>
          <w:rFonts w:hint="eastAsia" w:ascii="宋体" w:hAnsi="宋体"/>
          <w:szCs w:val="21"/>
        </w:rPr>
        <w:t>17.1   甲方对其代表授权：甲方任命的代表是</w:t>
      </w:r>
      <w:r>
        <w:rPr>
          <w:rFonts w:hint="eastAsia" w:ascii="宋体" w:hAnsi="宋体"/>
          <w:szCs w:val="21"/>
          <w:u w:val="single"/>
        </w:rPr>
        <w:t>陈湛斌</w:t>
      </w:r>
      <w:r>
        <w:rPr>
          <w:rFonts w:hint="eastAsia" w:ascii="宋体" w:hAnsi="宋体"/>
          <w:szCs w:val="21"/>
        </w:rPr>
        <w:t>，联络通讯地址如下：</w:t>
      </w:r>
    </w:p>
    <w:p>
      <w:pPr>
        <w:adjustRightInd w:val="0"/>
        <w:snapToGrid w:val="0"/>
        <w:ind w:left="840" w:leftChars="400"/>
        <w:jc w:val="left"/>
        <w:rPr>
          <w:rFonts w:ascii="宋体" w:hAnsi="宋体"/>
          <w:szCs w:val="21"/>
        </w:rPr>
      </w:pPr>
      <w:r>
        <w:rPr>
          <w:rFonts w:hint="eastAsia" w:ascii="宋体" w:hAnsi="宋体"/>
          <w:szCs w:val="21"/>
        </w:rPr>
        <w:t>通讯地址：</w:t>
      </w:r>
      <w:r>
        <w:rPr>
          <w:rFonts w:hint="eastAsia" w:ascii="宋体" w:hAnsi="宋体"/>
          <w:szCs w:val="21"/>
          <w:u w:val="single"/>
        </w:rPr>
        <w:t>。佛山市南海区禅碳路232号</w:t>
      </w:r>
    </w:p>
    <w:p>
      <w:pPr>
        <w:adjustRightInd w:val="0"/>
        <w:snapToGrid w:val="0"/>
        <w:ind w:left="840" w:leftChars="400"/>
        <w:rPr>
          <w:rFonts w:ascii="宋体" w:hAnsi="宋体"/>
          <w:szCs w:val="21"/>
        </w:rPr>
      </w:pPr>
      <w:r>
        <w:rPr>
          <w:rFonts w:hint="eastAsia" w:ascii="宋体" w:hAnsi="宋体"/>
          <w:szCs w:val="21"/>
        </w:rPr>
        <w:t>邮政编码：</w:t>
      </w:r>
      <w:r>
        <w:rPr>
          <w:rFonts w:hint="eastAsia" w:ascii="宋体" w:hAnsi="宋体"/>
          <w:szCs w:val="21"/>
          <w:u w:val="single"/>
        </w:rPr>
        <w:t>510045</w:t>
      </w:r>
      <w:r>
        <w:rPr>
          <w:rFonts w:ascii="宋体" w:hAnsi="宋体"/>
          <w:szCs w:val="21"/>
        </w:rPr>
        <w:t xml:space="preserve">                   联系电话：</w:t>
      </w:r>
      <w:r>
        <w:rPr>
          <w:rFonts w:hint="eastAsia" w:ascii="宋体" w:hAnsi="宋体"/>
          <w:szCs w:val="21"/>
          <w:u w:val="single"/>
        </w:rPr>
        <w:t>020-22110739</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18</w:t>
      </w:r>
      <w:r>
        <w:rPr>
          <w:rFonts w:hint="eastAsia" w:ascii="宋体" w:hAnsi="宋体"/>
          <w:b/>
          <w:szCs w:val="21"/>
        </w:rPr>
        <w:t>、监理工程师</w:t>
      </w:r>
    </w:p>
    <w:p>
      <w:pPr>
        <w:adjustRightInd w:val="0"/>
        <w:snapToGrid w:val="0"/>
        <w:rPr>
          <w:rFonts w:ascii="宋体" w:hAnsi="宋体"/>
          <w:szCs w:val="21"/>
        </w:rPr>
      </w:pPr>
      <w:r>
        <w:rPr>
          <w:rFonts w:hint="eastAsia" w:ascii="宋体" w:hAnsi="宋体"/>
          <w:szCs w:val="21"/>
        </w:rPr>
        <w:t>18.1    甲方对监理工程师授权</w:t>
      </w:r>
    </w:p>
    <w:p>
      <w:pPr>
        <w:adjustRightInd w:val="0"/>
        <w:snapToGrid w:val="0"/>
        <w:rPr>
          <w:rFonts w:ascii="宋体" w:hAnsi="宋体"/>
          <w:szCs w:val="21"/>
        </w:rPr>
      </w:pPr>
      <w:r>
        <w:rPr>
          <w:rFonts w:hint="eastAsia" w:ascii="宋体" w:hAnsi="宋体"/>
          <w:szCs w:val="21"/>
        </w:rPr>
        <w:t>18.1.1  监理单位：</w:t>
      </w:r>
    </w:p>
    <w:p>
      <w:pPr>
        <w:adjustRightInd w:val="0"/>
        <w:snapToGrid w:val="0"/>
        <w:ind w:left="840" w:hanging="840" w:hangingChars="400"/>
        <w:rPr>
          <w:rFonts w:ascii="宋体" w:hAnsi="宋体"/>
          <w:szCs w:val="21"/>
        </w:rPr>
      </w:pPr>
      <w:r>
        <w:rPr>
          <w:rFonts w:hint="eastAsia" w:ascii="宋体" w:hAnsi="宋体"/>
          <w:szCs w:val="21"/>
        </w:rPr>
        <w:t>18.1.2  监理工程师为监理单位任命的代表，前述监理工程师为____________________，联络通讯地址如下：</w:t>
      </w:r>
    </w:p>
    <w:p>
      <w:pPr>
        <w:adjustRightInd w:val="0"/>
        <w:snapToGrid w:val="0"/>
        <w:ind w:left="840" w:leftChars="400"/>
        <w:rPr>
          <w:rFonts w:ascii="宋体" w:hAnsi="宋体"/>
          <w:szCs w:val="21"/>
        </w:rPr>
      </w:pPr>
      <w:r>
        <w:rPr>
          <w:rFonts w:hint="eastAsia" w:ascii="宋体" w:hAnsi="宋体"/>
          <w:szCs w:val="21"/>
        </w:rPr>
        <w:t>通讯地址：</w:t>
      </w:r>
    </w:p>
    <w:p>
      <w:pPr>
        <w:adjustRightInd w:val="0"/>
        <w:snapToGrid w:val="0"/>
        <w:ind w:left="840" w:leftChars="400"/>
        <w:rPr>
          <w:rFonts w:ascii="宋体" w:hAnsi="宋体"/>
          <w:szCs w:val="21"/>
          <w:u w:val="single"/>
        </w:rPr>
      </w:pPr>
      <w:r>
        <w:rPr>
          <w:rFonts w:hint="eastAsia" w:ascii="宋体" w:hAnsi="宋体"/>
          <w:szCs w:val="21"/>
        </w:rPr>
        <w:t>邮政编码：              联系电话：</w:t>
      </w:r>
      <w:r>
        <w:rPr>
          <w:rFonts w:hint="eastAsia" w:ascii="宋体" w:hAnsi="宋体"/>
          <w:szCs w:val="21"/>
          <w:u w:val="single"/>
        </w:rPr>
        <w:t>_       ________</w:t>
      </w:r>
    </w:p>
    <w:p>
      <w:pPr>
        <w:adjustRightInd w:val="0"/>
        <w:snapToGrid w:val="0"/>
        <w:ind w:left="840" w:leftChars="400"/>
        <w:rPr>
          <w:rFonts w:ascii="宋体" w:hAnsi="宋体"/>
          <w:szCs w:val="21"/>
        </w:rPr>
      </w:pPr>
      <w:r>
        <w:rPr>
          <w:rFonts w:hint="eastAsia" w:ascii="宋体" w:hAnsi="宋体"/>
          <w:szCs w:val="21"/>
        </w:rPr>
        <w:t>传真号码：</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19</w:t>
      </w:r>
      <w:r>
        <w:rPr>
          <w:rFonts w:hint="eastAsia" w:ascii="宋体" w:hAnsi="宋体"/>
          <w:b/>
          <w:szCs w:val="21"/>
        </w:rPr>
        <w:t>、造价工程师</w:t>
      </w:r>
    </w:p>
    <w:p>
      <w:pPr>
        <w:adjustRightInd w:val="0"/>
        <w:snapToGrid w:val="0"/>
        <w:ind w:left="840" w:hanging="840" w:hangingChars="400"/>
        <w:rPr>
          <w:rFonts w:ascii="宋体" w:hAnsi="宋体"/>
          <w:szCs w:val="21"/>
        </w:rPr>
      </w:pPr>
      <w:r>
        <w:rPr>
          <w:rFonts w:hint="eastAsia" w:ascii="宋体" w:hAnsi="宋体"/>
          <w:szCs w:val="21"/>
        </w:rPr>
        <w:t>19.1    甲方对造价工程师授权：本工程中甲方将不聘用造价咨询机构，所有造价工程师的责任和义务由甲方自行承担。</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20</w:t>
      </w:r>
      <w:r>
        <w:rPr>
          <w:rFonts w:hint="eastAsia" w:ascii="宋体" w:hAnsi="宋体"/>
          <w:b/>
          <w:szCs w:val="21"/>
        </w:rPr>
        <w:t>、乙方代表</w:t>
      </w:r>
    </w:p>
    <w:p>
      <w:pPr>
        <w:adjustRightInd w:val="0"/>
        <w:snapToGrid w:val="0"/>
        <w:ind w:left="840" w:hanging="840" w:hangingChars="400"/>
        <w:rPr>
          <w:rFonts w:ascii="宋体" w:hAnsi="宋体"/>
          <w:szCs w:val="21"/>
        </w:rPr>
      </w:pPr>
      <w:r>
        <w:rPr>
          <w:rFonts w:hint="eastAsia" w:ascii="宋体" w:hAnsi="宋体"/>
          <w:szCs w:val="21"/>
        </w:rPr>
        <w:t>20.1    乙方对其代表授权：</w:t>
      </w:r>
    </w:p>
    <w:p>
      <w:pPr>
        <w:adjustRightInd w:val="0"/>
        <w:snapToGrid w:val="0"/>
        <w:ind w:left="840" w:hanging="840" w:hangingChars="400"/>
        <w:rPr>
          <w:rFonts w:ascii="宋体" w:hAnsi="宋体"/>
          <w:szCs w:val="21"/>
        </w:rPr>
      </w:pPr>
      <w:r>
        <w:rPr>
          <w:rFonts w:hint="eastAsia" w:ascii="宋体" w:hAnsi="宋体"/>
          <w:szCs w:val="21"/>
        </w:rPr>
        <w:t>20.1.1  乙方任命的代表是</w:t>
      </w:r>
      <w:r>
        <w:rPr>
          <w:rFonts w:ascii="宋体" w:hAnsi="宋体"/>
          <w:szCs w:val="21"/>
        </w:rPr>
        <w:t>（身份证</w:t>
      </w:r>
      <w:r>
        <w:rPr>
          <w:rFonts w:hint="eastAsia" w:ascii="宋体" w:hAnsi="宋体"/>
          <w:szCs w:val="21"/>
        </w:rPr>
        <w:t>号码</w:t>
      </w:r>
      <w:r>
        <w:rPr>
          <w:rFonts w:ascii="宋体" w:hAnsi="宋体"/>
          <w:szCs w:val="21"/>
        </w:rPr>
        <w:t>:）</w:t>
      </w:r>
      <w:r>
        <w:rPr>
          <w:rFonts w:hint="eastAsia" w:ascii="宋体" w:hAnsi="宋体"/>
          <w:szCs w:val="21"/>
        </w:rPr>
        <w:t>，联络通讯地址如下：</w:t>
      </w:r>
    </w:p>
    <w:p>
      <w:pPr>
        <w:adjustRightInd w:val="0"/>
        <w:snapToGrid w:val="0"/>
        <w:ind w:left="840" w:leftChars="400"/>
        <w:rPr>
          <w:rFonts w:ascii="宋体" w:hAnsi="宋体"/>
          <w:szCs w:val="21"/>
        </w:rPr>
      </w:pPr>
      <w:r>
        <w:rPr>
          <w:rFonts w:hint="eastAsia" w:ascii="宋体" w:hAnsi="宋体"/>
          <w:szCs w:val="21"/>
        </w:rPr>
        <w:t>通讯地址：</w:t>
      </w:r>
    </w:p>
    <w:p>
      <w:pPr>
        <w:adjustRightInd w:val="0"/>
        <w:snapToGrid w:val="0"/>
        <w:ind w:left="840" w:leftChars="400"/>
        <w:rPr>
          <w:rFonts w:ascii="宋体" w:hAnsi="宋体"/>
          <w:szCs w:val="21"/>
        </w:rPr>
      </w:pPr>
      <w:r>
        <w:rPr>
          <w:rFonts w:hint="eastAsia" w:ascii="宋体" w:hAnsi="宋体"/>
          <w:szCs w:val="21"/>
        </w:rPr>
        <w:t>邮政编码：       联系电话：传真号码：___________________</w:t>
      </w:r>
    </w:p>
    <w:p>
      <w:pPr>
        <w:adjustRightInd w:val="0"/>
        <w:snapToGrid w:val="0"/>
        <w:ind w:left="840" w:hanging="840" w:hangingChars="400"/>
        <w:jc w:val="left"/>
        <w:rPr>
          <w:rFonts w:ascii="宋体" w:hAnsi="宋体"/>
          <w:szCs w:val="21"/>
        </w:rPr>
      </w:pPr>
      <w:r>
        <w:rPr>
          <w:rFonts w:hint="eastAsia" w:ascii="宋体" w:hAnsi="宋体"/>
          <w:szCs w:val="21"/>
        </w:rPr>
        <w:t>20</w:t>
      </w:r>
      <w:r>
        <w:rPr>
          <w:rFonts w:ascii="宋体" w:hAnsi="宋体"/>
          <w:szCs w:val="21"/>
        </w:rPr>
        <w:t>.1.</w:t>
      </w:r>
      <w:r>
        <w:rPr>
          <w:rFonts w:hint="eastAsia" w:ascii="宋体" w:hAnsi="宋体"/>
          <w:szCs w:val="21"/>
        </w:rPr>
        <w:t>2    乙方任命的其他驻工地管理人员：</w:t>
      </w:r>
    </w:p>
    <w:tbl>
      <w:tblPr>
        <w:tblStyle w:val="92"/>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015"/>
        <w:gridCol w:w="992"/>
        <w:gridCol w:w="992"/>
        <w:gridCol w:w="851"/>
        <w:gridCol w:w="850"/>
        <w:gridCol w:w="709"/>
        <w:gridCol w:w="709"/>
        <w:gridCol w:w="70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职务</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项目经理</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项目副经理</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技术责任人</w:t>
            </w:r>
          </w:p>
        </w:tc>
        <w:tc>
          <w:tcPr>
            <w:tcW w:w="851"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安全员</w:t>
            </w:r>
          </w:p>
        </w:tc>
        <w:tc>
          <w:tcPr>
            <w:tcW w:w="850"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施工员</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材料员</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预算员</w:t>
            </w:r>
          </w:p>
        </w:tc>
        <w:tc>
          <w:tcPr>
            <w:tcW w:w="708"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质检员</w:t>
            </w:r>
          </w:p>
        </w:tc>
        <w:tc>
          <w:tcPr>
            <w:tcW w:w="99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姓名</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p>
        </w:tc>
        <w:tc>
          <w:tcPr>
            <w:tcW w:w="992" w:type="dxa"/>
            <w:vAlign w:val="center"/>
          </w:tcPr>
          <w:p>
            <w:pPr>
              <w:adjustRightInd w:val="0"/>
              <w:snapToGrid w:val="0"/>
              <w:spacing w:line="280" w:lineRule="exact"/>
              <w:ind w:left="675" w:hanging="675" w:hangingChars="450"/>
              <w:jc w:val="center"/>
              <w:rPr>
                <w:rFonts w:ascii="宋体" w:hAnsi="宋体"/>
                <w:sz w:val="15"/>
                <w:szCs w:val="15"/>
              </w:rPr>
            </w:pPr>
          </w:p>
        </w:tc>
        <w:tc>
          <w:tcPr>
            <w:tcW w:w="992" w:type="dxa"/>
            <w:vAlign w:val="center"/>
          </w:tcPr>
          <w:p>
            <w:pPr>
              <w:adjustRightInd w:val="0"/>
              <w:snapToGrid w:val="0"/>
              <w:spacing w:line="280" w:lineRule="exact"/>
              <w:ind w:left="675" w:hanging="675" w:hangingChars="450"/>
              <w:jc w:val="center"/>
              <w:rPr>
                <w:rFonts w:ascii="宋体" w:hAnsi="宋体"/>
                <w:sz w:val="15"/>
                <w:szCs w:val="15"/>
              </w:rPr>
            </w:pPr>
          </w:p>
        </w:tc>
        <w:tc>
          <w:tcPr>
            <w:tcW w:w="851" w:type="dxa"/>
            <w:vAlign w:val="center"/>
          </w:tcPr>
          <w:p>
            <w:pPr>
              <w:adjustRightInd w:val="0"/>
              <w:snapToGrid w:val="0"/>
              <w:spacing w:line="280" w:lineRule="exact"/>
              <w:ind w:left="675" w:hanging="675" w:hangingChars="450"/>
              <w:jc w:val="center"/>
              <w:rPr>
                <w:rFonts w:ascii="宋体" w:hAnsi="宋体"/>
                <w:sz w:val="15"/>
                <w:szCs w:val="15"/>
              </w:rPr>
            </w:pPr>
          </w:p>
        </w:tc>
        <w:tc>
          <w:tcPr>
            <w:tcW w:w="850" w:type="dxa"/>
            <w:vAlign w:val="center"/>
          </w:tcPr>
          <w:p>
            <w:pPr>
              <w:adjustRightInd w:val="0"/>
              <w:snapToGrid w:val="0"/>
              <w:spacing w:line="280" w:lineRule="exact"/>
              <w:ind w:left="675" w:hanging="675" w:hangingChars="450"/>
              <w:jc w:val="center"/>
              <w:rPr>
                <w:rFonts w:ascii="宋体" w:hAnsi="宋体"/>
                <w:sz w:val="15"/>
                <w:szCs w:val="15"/>
              </w:rPr>
            </w:pPr>
          </w:p>
        </w:tc>
        <w:tc>
          <w:tcPr>
            <w:tcW w:w="709" w:type="dxa"/>
            <w:vAlign w:val="center"/>
          </w:tcPr>
          <w:p>
            <w:pPr>
              <w:adjustRightInd w:val="0"/>
              <w:snapToGrid w:val="0"/>
              <w:spacing w:line="280" w:lineRule="exact"/>
              <w:ind w:left="675" w:hanging="675" w:hangingChars="450"/>
              <w:jc w:val="center"/>
              <w:rPr>
                <w:rFonts w:ascii="宋体" w:hAnsi="宋体"/>
                <w:sz w:val="15"/>
                <w:szCs w:val="15"/>
              </w:rPr>
            </w:pPr>
          </w:p>
        </w:tc>
        <w:tc>
          <w:tcPr>
            <w:tcW w:w="709" w:type="dxa"/>
            <w:vAlign w:val="center"/>
          </w:tcPr>
          <w:p>
            <w:pPr>
              <w:adjustRightInd w:val="0"/>
              <w:snapToGrid w:val="0"/>
              <w:spacing w:line="280" w:lineRule="exact"/>
              <w:ind w:left="675" w:hanging="675" w:hangingChars="450"/>
              <w:jc w:val="center"/>
              <w:rPr>
                <w:rFonts w:ascii="宋体" w:hAnsi="宋体"/>
                <w:sz w:val="15"/>
                <w:szCs w:val="15"/>
              </w:rPr>
            </w:pPr>
          </w:p>
        </w:tc>
        <w:tc>
          <w:tcPr>
            <w:tcW w:w="708" w:type="dxa"/>
            <w:vAlign w:val="center"/>
          </w:tcPr>
          <w:p>
            <w:pPr>
              <w:adjustRightInd w:val="0"/>
              <w:snapToGrid w:val="0"/>
              <w:spacing w:line="280" w:lineRule="exact"/>
              <w:ind w:left="675" w:hanging="675" w:hangingChars="450"/>
              <w:jc w:val="center"/>
              <w:rPr>
                <w:rFonts w:ascii="宋体" w:hAnsi="宋体"/>
                <w:sz w:val="15"/>
                <w:szCs w:val="15"/>
              </w:rPr>
            </w:pPr>
          </w:p>
        </w:tc>
        <w:tc>
          <w:tcPr>
            <w:tcW w:w="995" w:type="dxa"/>
            <w:vAlign w:val="center"/>
          </w:tcPr>
          <w:p>
            <w:pPr>
              <w:adjustRightInd w:val="0"/>
              <w:snapToGrid w:val="0"/>
              <w:spacing w:line="280" w:lineRule="exact"/>
              <w:ind w:left="675" w:hanging="675" w:hangingChars="450"/>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职称</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851"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850"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8"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99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r>
    </w:tbl>
    <w:p>
      <w:pPr>
        <w:adjustRightInd w:val="0"/>
        <w:snapToGrid w:val="0"/>
        <w:ind w:left="840" w:hanging="840" w:hangingChars="400"/>
        <w:jc w:val="left"/>
        <w:rPr>
          <w:rFonts w:ascii="宋体" w:hAnsi="宋体"/>
          <w:szCs w:val="21"/>
        </w:rPr>
      </w:pPr>
    </w:p>
    <w:p>
      <w:pPr>
        <w:adjustRightInd w:val="0"/>
        <w:snapToGrid w:val="0"/>
        <w:ind w:left="840" w:hanging="840" w:hangingChars="400"/>
        <w:jc w:val="left"/>
        <w:rPr>
          <w:rFonts w:ascii="宋体" w:hAnsi="宋体"/>
          <w:szCs w:val="21"/>
        </w:rPr>
      </w:pPr>
      <w:r>
        <w:rPr>
          <w:rFonts w:hint="eastAsia" w:ascii="宋体" w:hAnsi="宋体"/>
          <w:szCs w:val="21"/>
        </w:rPr>
        <w:t>20.1.3  乙方应确保上述乙方代表及其他驻工地管理人员均须专职在岗，不得兼任其他项目的任何职务，否则，乙方除应在24小时内责令该等人员返岗专职履行相应职责外，还应按人民币5万元/人/次/日向甲方支付违约金。该等人员因故需外出的，须提前1天向甲方提出书面申请并取得甲方书面同意，否则，乙方应按人民币1万元/人/次/日向甲方支付违约金。</w:t>
      </w:r>
    </w:p>
    <w:p>
      <w:pPr>
        <w:adjustRightInd w:val="0"/>
        <w:snapToGrid w:val="0"/>
        <w:ind w:left="840" w:hanging="840" w:hangingChars="400"/>
        <w:jc w:val="left"/>
        <w:rPr>
          <w:rFonts w:ascii="宋体" w:hAnsi="宋体"/>
          <w:szCs w:val="21"/>
        </w:rPr>
      </w:pPr>
      <w:r>
        <w:rPr>
          <w:rFonts w:hint="eastAsia" w:ascii="宋体" w:hAnsi="宋体"/>
          <w:szCs w:val="21"/>
        </w:rPr>
        <w:t>20.1.4  未经甲方书面同意，乙方任意更换乙方代表的，应按人民币10万元/人/次向甲方支付违约金；同时，乙方任意更换其他驻工地管理人员的，应按人民币2万元/人/次向甲方支付违约金。</w:t>
      </w:r>
    </w:p>
    <w:p>
      <w:pPr>
        <w:adjustRightInd w:val="0"/>
        <w:snapToGrid w:val="0"/>
        <w:ind w:left="840" w:hanging="840" w:hangingChars="400"/>
        <w:jc w:val="left"/>
        <w:rPr>
          <w:rFonts w:ascii="宋体" w:hAnsi="宋体"/>
          <w:szCs w:val="21"/>
        </w:rPr>
      </w:pPr>
      <w:r>
        <w:rPr>
          <w:rFonts w:hint="eastAsia" w:ascii="宋体" w:hAnsi="宋体"/>
          <w:szCs w:val="21"/>
        </w:rPr>
        <w:t>20.1.5  监理单位提出更换乙方代表及其他驻工地管理人员并经甲方同意的，乙方应在24小时内将其调离本工程，否则，应按人民币2000元/人/次/日向甲方支付违约金；同时，乙方还应在2天内提供甲方批准合格的人员代替上述调离人员行使相关职责。</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21</w:t>
      </w:r>
      <w:r>
        <w:rPr>
          <w:rFonts w:hint="eastAsia" w:ascii="宋体" w:hAnsi="宋体"/>
          <w:b/>
          <w:szCs w:val="21"/>
        </w:rPr>
        <w:t>、指定分包单位</w:t>
      </w:r>
    </w:p>
    <w:p>
      <w:pPr>
        <w:adjustRightInd w:val="0"/>
        <w:snapToGrid w:val="0"/>
        <w:ind w:left="840" w:hanging="840" w:hangingChars="400"/>
        <w:jc w:val="left"/>
        <w:rPr>
          <w:rFonts w:ascii="宋体" w:hAnsi="宋体"/>
          <w:szCs w:val="21"/>
        </w:rPr>
      </w:pPr>
      <w:r>
        <w:rPr>
          <w:rFonts w:ascii="宋体" w:hAnsi="宋体"/>
          <w:szCs w:val="21"/>
        </w:rPr>
        <w:t>21.1</w:t>
      </w:r>
      <w:r>
        <w:rPr>
          <w:rFonts w:hint="eastAsia" w:ascii="宋体" w:hAnsi="宋体"/>
          <w:szCs w:val="21"/>
        </w:rPr>
        <w:t xml:space="preserve">    指定分包单位工作：有关规定和要求按本合同专用条款第</w:t>
      </w:r>
      <w:r>
        <w:rPr>
          <w:rFonts w:ascii="宋体" w:hAnsi="宋体"/>
          <w:szCs w:val="21"/>
        </w:rPr>
        <w:t>5.1</w:t>
      </w:r>
      <w:r>
        <w:rPr>
          <w:rFonts w:hint="eastAsia" w:ascii="宋体" w:hAnsi="宋体"/>
          <w:szCs w:val="21"/>
        </w:rPr>
        <w:t>款执行。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26</w:t>
      </w:r>
      <w:r>
        <w:rPr>
          <w:rFonts w:hint="eastAsia" w:ascii="宋体" w:hAnsi="宋体"/>
          <w:b/>
          <w:szCs w:val="21"/>
        </w:rPr>
        <w:t>、不可抗力</w:t>
      </w:r>
    </w:p>
    <w:p>
      <w:pPr>
        <w:adjustRightInd w:val="0"/>
        <w:snapToGrid w:val="0"/>
        <w:ind w:left="840" w:hanging="840" w:hangingChars="400"/>
        <w:jc w:val="left"/>
        <w:rPr>
          <w:rFonts w:ascii="宋体" w:hAnsi="宋体"/>
          <w:szCs w:val="21"/>
        </w:rPr>
      </w:pPr>
      <w:r>
        <w:rPr>
          <w:rFonts w:ascii="宋体" w:hAnsi="宋体"/>
          <w:szCs w:val="21"/>
        </w:rPr>
        <w:t>26.1</w:t>
      </w:r>
      <w:r>
        <w:rPr>
          <w:rFonts w:hint="eastAsia" w:ascii="宋体" w:hAnsi="宋体"/>
          <w:szCs w:val="21"/>
        </w:rPr>
        <w:t xml:space="preserve">    不可抗力因素：本合同所称不可抗力是不能预见、不能避免并不能克服的客观情况。包括因战争、动乱、空中飞行物体坠落或其他非甲方、乙方责任造成的爆炸、火灾、壹级一下方面的自然灾害；</w:t>
      </w:r>
    </w:p>
    <w:p>
      <w:pPr>
        <w:adjustRightInd w:val="0"/>
        <w:snapToGrid w:val="0"/>
        <w:ind w:left="840" w:hanging="840" w:hangingChars="400"/>
        <w:jc w:val="left"/>
        <w:rPr>
          <w:rFonts w:ascii="宋体" w:hAnsi="宋体"/>
          <w:szCs w:val="21"/>
        </w:rPr>
      </w:pPr>
      <w:r>
        <w:rPr>
          <w:rFonts w:ascii="宋体" w:hAnsi="宋体"/>
          <w:szCs w:val="21"/>
        </w:rPr>
        <w:t>26.1.1</w:t>
      </w:r>
      <w:r>
        <w:rPr>
          <w:rFonts w:hint="eastAsia" w:ascii="宋体" w:hAnsi="宋体"/>
          <w:szCs w:val="21"/>
        </w:rPr>
        <w:t xml:space="preserve">  烈度为6级以上的地震；</w:t>
      </w:r>
    </w:p>
    <w:p>
      <w:pPr>
        <w:adjustRightInd w:val="0"/>
        <w:snapToGrid w:val="0"/>
        <w:ind w:left="840" w:hanging="840" w:hangingChars="400"/>
        <w:jc w:val="left"/>
        <w:rPr>
          <w:rFonts w:ascii="宋体" w:hAnsi="宋体"/>
          <w:szCs w:val="21"/>
        </w:rPr>
      </w:pPr>
      <w:r>
        <w:rPr>
          <w:rFonts w:ascii="宋体" w:hAnsi="宋体"/>
          <w:szCs w:val="21"/>
        </w:rPr>
        <w:t xml:space="preserve">26.1.1.1 </w:t>
      </w:r>
      <w:r>
        <w:rPr>
          <w:rFonts w:hint="eastAsia" w:ascii="宋体" w:hAnsi="宋体"/>
          <w:szCs w:val="21"/>
        </w:rPr>
        <w:t xml:space="preserve"> 7</w:t>
      </w:r>
      <w:r>
        <w:rPr>
          <w:rFonts w:ascii="宋体" w:hAnsi="宋体"/>
          <w:szCs w:val="21"/>
        </w:rPr>
        <w:t>级以上持续24小时的大风；</w:t>
      </w:r>
    </w:p>
    <w:p>
      <w:pPr>
        <w:adjustRightInd w:val="0"/>
        <w:snapToGrid w:val="0"/>
        <w:ind w:left="840" w:hanging="840" w:hangingChars="400"/>
        <w:jc w:val="left"/>
        <w:rPr>
          <w:rFonts w:ascii="宋体" w:hAnsi="宋体"/>
          <w:szCs w:val="21"/>
        </w:rPr>
      </w:pPr>
      <w:r>
        <w:rPr>
          <w:rFonts w:ascii="宋体" w:hAnsi="宋体"/>
          <w:szCs w:val="21"/>
        </w:rPr>
        <w:t>26.1.1.2</w:t>
      </w:r>
      <w:r>
        <w:rPr>
          <w:rFonts w:hint="eastAsia" w:ascii="宋体" w:hAnsi="宋体"/>
          <w:szCs w:val="21"/>
        </w:rPr>
        <w:t>持续降雨</w:t>
      </w:r>
      <w:r>
        <w:rPr>
          <w:rFonts w:ascii="宋体" w:hAnsi="宋体"/>
          <w:szCs w:val="21"/>
        </w:rPr>
        <w:t>24小时且降雨量为200mm</w:t>
      </w:r>
      <w:r>
        <w:rPr>
          <w:rFonts w:hint="eastAsia" w:ascii="宋体" w:hAnsi="宋体"/>
          <w:szCs w:val="21"/>
        </w:rPr>
        <w:t>以上；</w:t>
      </w:r>
    </w:p>
    <w:p>
      <w:pPr>
        <w:adjustRightInd w:val="0"/>
        <w:snapToGrid w:val="0"/>
        <w:ind w:left="840" w:hanging="840" w:hangingChars="400"/>
        <w:jc w:val="left"/>
        <w:rPr>
          <w:rFonts w:ascii="宋体" w:hAnsi="宋体"/>
          <w:szCs w:val="21"/>
        </w:rPr>
      </w:pPr>
      <w:r>
        <w:rPr>
          <w:rFonts w:ascii="宋体" w:hAnsi="宋体"/>
          <w:szCs w:val="21"/>
        </w:rPr>
        <w:t>26.1.1.3 42摄氏度及以上持续24小时的高温；</w:t>
      </w:r>
    </w:p>
    <w:p>
      <w:pPr>
        <w:adjustRightInd w:val="0"/>
        <w:snapToGrid w:val="0"/>
        <w:ind w:left="840" w:hanging="840" w:hangingChars="400"/>
        <w:jc w:val="left"/>
        <w:rPr>
          <w:rFonts w:ascii="宋体" w:hAnsi="宋体"/>
          <w:szCs w:val="21"/>
        </w:rPr>
      </w:pPr>
      <w:r>
        <w:rPr>
          <w:rFonts w:ascii="宋体" w:hAnsi="宋体"/>
          <w:szCs w:val="21"/>
        </w:rPr>
        <w:t>26.1.1.4零下</w:t>
      </w:r>
      <w:r>
        <w:rPr>
          <w:rFonts w:hint="eastAsia" w:ascii="宋体" w:hAnsi="宋体"/>
          <w:szCs w:val="21"/>
        </w:rPr>
        <w:t>15</w:t>
      </w:r>
      <w:r>
        <w:rPr>
          <w:rFonts w:ascii="宋体" w:hAnsi="宋体"/>
          <w:szCs w:val="21"/>
        </w:rPr>
        <w:t>摄氏度</w:t>
      </w:r>
      <w:r>
        <w:rPr>
          <w:rFonts w:hint="eastAsia" w:ascii="宋体" w:hAnsi="宋体"/>
          <w:szCs w:val="21"/>
        </w:rPr>
        <w:t>及以下持续</w:t>
      </w:r>
      <w:r>
        <w:rPr>
          <w:rFonts w:ascii="宋体" w:hAnsi="宋体"/>
          <w:szCs w:val="21"/>
        </w:rPr>
        <w:t>24小时的低温。</w:t>
      </w:r>
    </w:p>
    <w:p>
      <w:pPr>
        <w:adjustRightInd w:val="0"/>
        <w:snapToGrid w:val="0"/>
        <w:ind w:left="840" w:hanging="840" w:hangingChars="400"/>
        <w:jc w:val="left"/>
        <w:rPr>
          <w:rFonts w:ascii="宋体" w:hAnsi="宋体"/>
          <w:szCs w:val="21"/>
        </w:rPr>
      </w:pPr>
      <w:r>
        <w:rPr>
          <w:rFonts w:ascii="宋体" w:hAnsi="宋体"/>
          <w:szCs w:val="21"/>
        </w:rPr>
        <w:t>26.1.2</w:t>
      </w:r>
      <w:r>
        <w:rPr>
          <w:rFonts w:hint="eastAsia" w:ascii="宋体" w:hAnsi="宋体"/>
          <w:szCs w:val="21"/>
        </w:rPr>
        <w:t>当地地震部门规定的情形</w:t>
      </w:r>
      <w:r>
        <w:rPr>
          <w:rFonts w:ascii="宋体" w:hAnsi="宋体"/>
          <w:szCs w:val="21"/>
        </w:rPr>
        <w:t xml:space="preserve">: </w:t>
      </w:r>
      <w:r>
        <w:rPr>
          <w:rFonts w:hint="eastAsia" w:ascii="宋体" w:hAnsi="宋体"/>
          <w:szCs w:val="21"/>
        </w:rPr>
        <w:t>烈度为</w:t>
      </w:r>
      <w:r>
        <w:rPr>
          <w:rFonts w:ascii="宋体" w:hAnsi="宋体"/>
          <w:szCs w:val="21"/>
        </w:rPr>
        <w:t>5级以上的地震</w:t>
      </w:r>
      <w:r>
        <w:rPr>
          <w:rFonts w:hint="eastAsia" w:ascii="宋体" w:hAnsi="宋体"/>
          <w:szCs w:val="21"/>
        </w:rPr>
        <w:t>。</w:t>
      </w:r>
    </w:p>
    <w:p>
      <w:pPr>
        <w:adjustRightInd w:val="0"/>
        <w:snapToGrid w:val="0"/>
        <w:ind w:left="840" w:hanging="840" w:hangingChars="400"/>
        <w:jc w:val="left"/>
        <w:rPr>
          <w:rFonts w:ascii="宋体" w:hAnsi="宋体"/>
          <w:szCs w:val="21"/>
          <w:u w:val="single"/>
        </w:rPr>
      </w:pPr>
      <w:r>
        <w:rPr>
          <w:rFonts w:ascii="宋体" w:hAnsi="宋体"/>
          <w:szCs w:val="21"/>
        </w:rPr>
        <w:t>26.1.3</w:t>
      </w:r>
      <w:r>
        <w:rPr>
          <w:rFonts w:hint="eastAsia" w:ascii="宋体" w:hAnsi="宋体"/>
          <w:szCs w:val="21"/>
        </w:rPr>
        <w:t>不可抗力的其他情形：</w:t>
      </w:r>
      <w:r>
        <w:rPr>
          <w:rFonts w:ascii="宋体" w:hAnsi="宋体"/>
          <w:szCs w:val="21"/>
          <w:u w:val="single"/>
        </w:rPr>
        <w:t xml:space="preserve">   /  </w:t>
      </w:r>
      <w:r>
        <w:rPr>
          <w:rFonts w:hint="eastAsia" w:ascii="宋体" w:hAnsi="宋体"/>
          <w:szCs w:val="21"/>
        </w:rPr>
        <w:t>。</w:t>
      </w:r>
    </w:p>
    <w:p>
      <w:pPr>
        <w:adjustRightInd w:val="0"/>
        <w:snapToGrid w:val="0"/>
        <w:ind w:left="840" w:hanging="840" w:hangingChars="400"/>
        <w:jc w:val="left"/>
        <w:rPr>
          <w:rFonts w:ascii="宋体" w:hAnsi="宋体"/>
          <w:szCs w:val="21"/>
          <w:u w:val="single"/>
        </w:rPr>
      </w:pPr>
      <w:r>
        <w:rPr>
          <w:rFonts w:ascii="宋体" w:hAnsi="宋体"/>
          <w:szCs w:val="21"/>
        </w:rPr>
        <w:t>26.2</w:t>
      </w:r>
      <w:r>
        <w:rPr>
          <w:rFonts w:hint="eastAsia" w:ascii="宋体" w:hAnsi="宋体"/>
          <w:szCs w:val="21"/>
        </w:rPr>
        <w:t xml:space="preserve">    不可抗力处理程序：任何一方由于不可抗力的原因而不能履行或者不能完全履行本合同时，应在不可抗力事件发生后的</w:t>
      </w:r>
      <w:r>
        <w:rPr>
          <w:rFonts w:ascii="宋体" w:hAnsi="宋体"/>
          <w:szCs w:val="21"/>
        </w:rPr>
        <w:t>2天</w:t>
      </w:r>
      <w:r>
        <w:rPr>
          <w:rFonts w:hint="eastAsia" w:ascii="宋体" w:hAnsi="宋体"/>
          <w:szCs w:val="21"/>
        </w:rPr>
        <w:t>内及时向对方发出通知，通报不能履行或者不能完全履行的理由，以减轻可能给对方造成的损失，在取得有关权威机构出具的合法证明后，方可允许延期履行、部分履行或者不履行本合同，并根据情况可部分或者全部免予承担违约责任。</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27</w:t>
      </w:r>
      <w:r>
        <w:rPr>
          <w:rFonts w:hint="eastAsia" w:ascii="宋体" w:hAnsi="宋体"/>
          <w:b/>
          <w:szCs w:val="21"/>
        </w:rPr>
        <w:t>、保险</w:t>
      </w:r>
    </w:p>
    <w:p>
      <w:pPr>
        <w:adjustRightInd w:val="0"/>
        <w:snapToGrid w:val="0"/>
        <w:ind w:left="840" w:hanging="840" w:hangingChars="400"/>
        <w:jc w:val="left"/>
        <w:rPr>
          <w:rFonts w:ascii="宋体" w:hAnsi="宋体"/>
          <w:szCs w:val="21"/>
        </w:rPr>
      </w:pPr>
      <w:r>
        <w:rPr>
          <w:rFonts w:ascii="宋体" w:hAnsi="宋体"/>
          <w:szCs w:val="21"/>
        </w:rPr>
        <w:t>27.1</w:t>
      </w:r>
      <w:r>
        <w:rPr>
          <w:rFonts w:hint="eastAsia" w:ascii="宋体" w:hAnsi="宋体"/>
          <w:szCs w:val="21"/>
        </w:rPr>
        <w:t xml:space="preserve">    甲方办理保险：本合同通用条款第</w:t>
      </w:r>
      <w:r>
        <w:rPr>
          <w:rFonts w:ascii="宋体" w:hAnsi="宋体"/>
          <w:szCs w:val="21"/>
        </w:rPr>
        <w:t>27.1</w:t>
      </w:r>
      <w:r>
        <w:rPr>
          <w:rFonts w:hint="eastAsia" w:ascii="宋体" w:hAnsi="宋体"/>
          <w:szCs w:val="21"/>
        </w:rPr>
        <w:t>款不予适用。</w:t>
      </w:r>
    </w:p>
    <w:p>
      <w:pPr>
        <w:adjustRightInd w:val="0"/>
        <w:snapToGrid w:val="0"/>
        <w:ind w:left="840" w:hanging="840" w:hangingChars="400"/>
        <w:jc w:val="left"/>
        <w:rPr>
          <w:rFonts w:ascii="宋体" w:hAnsi="宋体"/>
          <w:szCs w:val="21"/>
        </w:rPr>
      </w:pPr>
      <w:r>
        <w:rPr>
          <w:rFonts w:ascii="宋体" w:hAnsi="宋体"/>
          <w:szCs w:val="21"/>
        </w:rPr>
        <w:t>27.2</w:t>
      </w:r>
      <w:r>
        <w:rPr>
          <w:rFonts w:hint="eastAsia" w:ascii="宋体" w:hAnsi="宋体"/>
          <w:szCs w:val="21"/>
        </w:rPr>
        <w:t xml:space="preserve">    乙方办理保险：以下保险费用由乙方支付和承担，保险期从开工之日起至工程竣工验收合格之日止。</w:t>
      </w:r>
    </w:p>
    <w:p>
      <w:pPr>
        <w:pStyle w:val="42"/>
        <w:adjustRightInd w:val="0"/>
        <w:snapToGrid w:val="0"/>
        <w:ind w:left="840" w:hanging="840" w:hangingChars="400"/>
        <w:jc w:val="left"/>
        <w:rPr>
          <w:rFonts w:hAnsi="宋体"/>
          <w:szCs w:val="21"/>
        </w:rPr>
      </w:pPr>
      <w:r>
        <w:rPr>
          <w:rFonts w:hAnsi="宋体"/>
          <w:szCs w:val="21"/>
        </w:rPr>
        <w:t>27.2.1</w:t>
      </w:r>
      <w:r>
        <w:rPr>
          <w:rFonts w:hint="eastAsia" w:hAnsi="宋体"/>
          <w:szCs w:val="21"/>
        </w:rPr>
        <w:t xml:space="preserve">  工程开工前，为施工场地内自有人员办理意外伤害保险；</w:t>
      </w:r>
    </w:p>
    <w:p>
      <w:pPr>
        <w:pStyle w:val="42"/>
        <w:adjustRightInd w:val="0"/>
        <w:snapToGrid w:val="0"/>
        <w:ind w:left="840" w:hanging="840" w:hangingChars="400"/>
        <w:jc w:val="left"/>
        <w:rPr>
          <w:rFonts w:hAnsi="宋体"/>
          <w:szCs w:val="21"/>
        </w:rPr>
      </w:pPr>
      <w:r>
        <w:rPr>
          <w:rFonts w:hAnsi="宋体"/>
          <w:szCs w:val="21"/>
        </w:rPr>
        <w:t>27.2.2</w:t>
      </w:r>
      <w:r>
        <w:rPr>
          <w:rFonts w:hint="eastAsia" w:hAnsi="宋体"/>
          <w:szCs w:val="21"/>
        </w:rPr>
        <w:t xml:space="preserve">  为施工场地内的自有施工机械、设备办理保险。</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28</w:t>
      </w:r>
      <w:r>
        <w:rPr>
          <w:rFonts w:hint="eastAsia" w:ascii="宋体" w:hAnsi="宋体"/>
          <w:b/>
          <w:szCs w:val="21"/>
        </w:rPr>
        <w:t>、进度计划和报告</w:t>
      </w:r>
    </w:p>
    <w:p>
      <w:pPr>
        <w:adjustRightInd w:val="0"/>
        <w:snapToGrid w:val="0"/>
        <w:ind w:left="840" w:hanging="840" w:hangingChars="400"/>
        <w:rPr>
          <w:rFonts w:ascii="宋体" w:hAnsi="宋体"/>
          <w:szCs w:val="21"/>
        </w:rPr>
      </w:pPr>
      <w:r>
        <w:rPr>
          <w:rFonts w:ascii="宋体" w:hAnsi="宋体"/>
          <w:szCs w:val="21"/>
        </w:rPr>
        <w:t>28.1</w:t>
      </w:r>
      <w:r>
        <w:rPr>
          <w:rFonts w:hint="eastAsia" w:ascii="宋体" w:hAnsi="宋体"/>
          <w:szCs w:val="21"/>
        </w:rPr>
        <w:t xml:space="preserve">    提交工程进度计划</w:t>
      </w:r>
    </w:p>
    <w:p>
      <w:pPr>
        <w:adjustRightInd w:val="0"/>
        <w:snapToGrid w:val="0"/>
        <w:ind w:left="840" w:hanging="840" w:hangingChars="400"/>
        <w:rPr>
          <w:rFonts w:ascii="宋体" w:hAnsi="宋体"/>
          <w:szCs w:val="21"/>
        </w:rPr>
      </w:pPr>
      <w:r>
        <w:rPr>
          <w:rFonts w:ascii="宋体" w:hAnsi="宋体"/>
          <w:szCs w:val="21"/>
        </w:rPr>
        <w:t>28.1.1</w:t>
      </w:r>
      <w:r>
        <w:rPr>
          <w:rFonts w:hint="eastAsia" w:ascii="宋体" w:hAnsi="宋体"/>
          <w:szCs w:val="21"/>
        </w:rPr>
        <w:t xml:space="preserve">  乙方应在收到施工图纸后的</w:t>
      </w:r>
      <w:r>
        <w:rPr>
          <w:rFonts w:ascii="宋体" w:hAnsi="宋体"/>
          <w:szCs w:val="21"/>
        </w:rPr>
        <w:t>7</w:t>
      </w:r>
      <w:r>
        <w:rPr>
          <w:rFonts w:hint="eastAsia" w:ascii="宋体" w:hAnsi="宋体"/>
          <w:szCs w:val="21"/>
        </w:rPr>
        <w:t>天内，向甲方及监理工程师分别提交一式二份施工组织设计和工程进度计划（包括月进度计划），并经甲方及监理单位审核确认后实施。</w:t>
      </w:r>
    </w:p>
    <w:p>
      <w:pPr>
        <w:adjustRightInd w:val="0"/>
        <w:snapToGrid w:val="0"/>
        <w:ind w:left="840" w:hanging="840" w:hangingChars="400"/>
        <w:rPr>
          <w:rFonts w:ascii="宋体" w:hAnsi="宋体"/>
          <w:szCs w:val="21"/>
        </w:rPr>
      </w:pPr>
      <w:r>
        <w:rPr>
          <w:rFonts w:ascii="宋体" w:hAnsi="宋体"/>
          <w:szCs w:val="21"/>
        </w:rPr>
        <w:t>28.1.2若乙方不按合同要求时间提交施工总进度计划，或不</w:t>
      </w:r>
      <w:r>
        <w:rPr>
          <w:rFonts w:hint="eastAsia" w:ascii="宋体" w:hAnsi="宋体"/>
          <w:szCs w:val="21"/>
        </w:rPr>
        <w:t>按双方约定时间提交季度、月度、周施工计划或专项施工计划，则乙方应按人民币</w:t>
      </w:r>
      <w:r>
        <w:rPr>
          <w:rFonts w:ascii="宋体" w:hAnsi="宋体"/>
          <w:szCs w:val="21"/>
        </w:rPr>
        <w:t>2</w:t>
      </w:r>
      <w:r>
        <w:rPr>
          <w:rFonts w:hint="eastAsia" w:ascii="宋体" w:hAnsi="宋体"/>
          <w:szCs w:val="21"/>
        </w:rPr>
        <w:t>万元</w:t>
      </w:r>
      <w:r>
        <w:rPr>
          <w:rFonts w:ascii="宋体" w:hAnsi="宋体"/>
          <w:szCs w:val="21"/>
        </w:rPr>
        <w:t>/次</w:t>
      </w:r>
      <w:r>
        <w:rPr>
          <w:rFonts w:hint="eastAsia" w:ascii="宋体" w:hAnsi="宋体"/>
          <w:szCs w:val="21"/>
        </w:rPr>
        <w:t>向甲方支付违约金，且乙方须及时补报。若乙方屡次不按要求提交计划的，按累计次数翻倍计算违约金（例如第二次为</w:t>
      </w:r>
      <w:r>
        <w:rPr>
          <w:rFonts w:ascii="宋体" w:hAnsi="宋体"/>
          <w:szCs w:val="21"/>
        </w:rPr>
        <w:t>4万元违约金，第三次为8万元违约金，依次类推）。</w:t>
      </w:r>
    </w:p>
    <w:p>
      <w:pPr>
        <w:adjustRightInd w:val="0"/>
        <w:snapToGrid w:val="0"/>
        <w:ind w:left="840" w:hanging="840" w:hangingChars="400"/>
        <w:rPr>
          <w:rFonts w:ascii="宋体" w:hAnsi="宋体"/>
          <w:szCs w:val="21"/>
        </w:rPr>
      </w:pPr>
      <w:r>
        <w:rPr>
          <w:rFonts w:ascii="宋体" w:hAnsi="宋体"/>
          <w:szCs w:val="21"/>
        </w:rPr>
        <w:t>28.2</w:t>
      </w:r>
      <w:r>
        <w:rPr>
          <w:rFonts w:hint="eastAsia" w:ascii="宋体" w:hAnsi="宋体"/>
          <w:szCs w:val="21"/>
        </w:rPr>
        <w:t xml:space="preserve">    工程进度的监督和检查：乙方应按甲方及监理单位要求，按工程进度需要及时编制相关工程专项施工方案和进度计划，并经甲方及监理单位审核确认后实施。</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29</w:t>
      </w:r>
      <w:r>
        <w:rPr>
          <w:rFonts w:hint="eastAsia" w:ascii="宋体" w:hAnsi="宋体"/>
          <w:b/>
          <w:szCs w:val="21"/>
        </w:rPr>
        <w:t>、开工</w:t>
      </w:r>
    </w:p>
    <w:p>
      <w:pPr>
        <w:adjustRightInd w:val="0"/>
        <w:snapToGrid w:val="0"/>
        <w:ind w:left="840" w:hanging="840" w:hangingChars="400"/>
        <w:jc w:val="left"/>
        <w:rPr>
          <w:rFonts w:ascii="宋体" w:hAnsi="宋体"/>
          <w:szCs w:val="21"/>
        </w:rPr>
      </w:pPr>
      <w:r>
        <w:rPr>
          <w:rFonts w:ascii="宋体" w:hAnsi="宋体"/>
          <w:szCs w:val="21"/>
        </w:rPr>
        <w:t>29.2</w:t>
      </w:r>
      <w:r>
        <w:rPr>
          <w:rFonts w:hint="eastAsia" w:ascii="宋体" w:hAnsi="宋体"/>
          <w:szCs w:val="21"/>
        </w:rPr>
        <w:t xml:space="preserve">    工程开工：本工程开工日期以甲方发出的开工通知为准。</w:t>
      </w:r>
    </w:p>
    <w:p>
      <w:pPr>
        <w:adjustRightInd w:val="0"/>
        <w:snapToGrid w:val="0"/>
        <w:ind w:left="1320" w:leftChars="229"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31</w:t>
      </w:r>
      <w:r>
        <w:rPr>
          <w:rFonts w:hint="eastAsia" w:ascii="宋体" w:hAnsi="宋体"/>
          <w:b/>
          <w:szCs w:val="21"/>
        </w:rPr>
        <w:t>、工期和工期延误</w:t>
      </w:r>
    </w:p>
    <w:p>
      <w:pPr>
        <w:adjustRightInd w:val="0"/>
        <w:snapToGrid w:val="0"/>
        <w:ind w:left="840" w:hanging="840" w:hangingChars="400"/>
        <w:jc w:val="left"/>
        <w:rPr>
          <w:rFonts w:ascii="宋体" w:hAnsi="宋体"/>
          <w:szCs w:val="21"/>
        </w:rPr>
      </w:pPr>
      <w:r>
        <w:rPr>
          <w:rFonts w:ascii="宋体" w:hAnsi="宋体"/>
          <w:szCs w:val="21"/>
        </w:rPr>
        <w:t>31.1</w:t>
      </w:r>
      <w:r>
        <w:rPr>
          <w:rFonts w:hint="eastAsia" w:ascii="宋体" w:hAnsi="宋体"/>
          <w:szCs w:val="21"/>
        </w:rPr>
        <w:t xml:space="preserve">    工程工期：按本合同协议书第四条约定执行。</w:t>
      </w:r>
    </w:p>
    <w:p>
      <w:pPr>
        <w:adjustRightInd w:val="0"/>
        <w:snapToGrid w:val="0"/>
        <w:ind w:left="840" w:hanging="840" w:hangingChars="400"/>
        <w:jc w:val="left"/>
        <w:rPr>
          <w:rFonts w:ascii="宋体" w:hAnsi="宋体"/>
          <w:szCs w:val="21"/>
        </w:rPr>
      </w:pPr>
      <w:r>
        <w:rPr>
          <w:rFonts w:ascii="宋体" w:hAnsi="宋体"/>
          <w:szCs w:val="21"/>
        </w:rPr>
        <w:t>31.2</w:t>
      </w:r>
      <w:r>
        <w:rPr>
          <w:rFonts w:hint="eastAsia" w:ascii="宋体" w:hAnsi="宋体"/>
          <w:szCs w:val="21"/>
        </w:rPr>
        <w:t xml:space="preserve">    工期顺延：若因天气影响工期延误，经甲方书面确认，工期可相应顺延。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35</w:t>
      </w:r>
      <w:r>
        <w:rPr>
          <w:rFonts w:hint="eastAsia" w:ascii="宋体" w:hAnsi="宋体"/>
          <w:b/>
          <w:szCs w:val="21"/>
        </w:rPr>
        <w:t>、质量的管理</w:t>
      </w:r>
    </w:p>
    <w:p>
      <w:pPr>
        <w:adjustRightInd w:val="0"/>
        <w:snapToGrid w:val="0"/>
        <w:ind w:left="840" w:hanging="840" w:hangingChars="400"/>
        <w:jc w:val="left"/>
        <w:rPr>
          <w:rFonts w:ascii="宋体" w:hAnsi="宋体"/>
          <w:szCs w:val="21"/>
        </w:rPr>
      </w:pPr>
      <w:r>
        <w:rPr>
          <w:rFonts w:ascii="宋体" w:hAnsi="宋体"/>
          <w:szCs w:val="21"/>
        </w:rPr>
        <w:t>35.3</w:t>
      </w:r>
      <w:r>
        <w:rPr>
          <w:rFonts w:hint="eastAsia" w:ascii="宋体" w:hAnsi="宋体"/>
          <w:szCs w:val="21"/>
        </w:rPr>
        <w:t xml:space="preserve">    乙方对工程质量负责</w:t>
      </w:r>
    </w:p>
    <w:p>
      <w:pPr>
        <w:adjustRightInd w:val="0"/>
        <w:snapToGrid w:val="0"/>
        <w:ind w:left="840" w:hanging="840" w:hangingChars="400"/>
        <w:jc w:val="left"/>
        <w:rPr>
          <w:rFonts w:ascii="宋体" w:hAnsi="宋体"/>
          <w:szCs w:val="21"/>
        </w:rPr>
      </w:pPr>
      <w:r>
        <w:rPr>
          <w:rFonts w:ascii="宋体" w:hAnsi="宋体"/>
          <w:szCs w:val="21"/>
        </w:rPr>
        <w:t>35.3.1</w:t>
      </w:r>
      <w:r>
        <w:rPr>
          <w:rFonts w:hint="eastAsia" w:ascii="宋体" w:hAnsi="宋体"/>
          <w:szCs w:val="21"/>
        </w:rPr>
        <w:t xml:space="preserve">  按房屋建筑防水体系要求，各部位通过</w:t>
      </w:r>
      <w:r>
        <w:rPr>
          <w:rFonts w:ascii="宋体" w:hAnsi="宋体"/>
          <w:szCs w:val="21"/>
        </w:rPr>
        <w:t>12小时强制试水无渗漏。</w:t>
      </w:r>
    </w:p>
    <w:p>
      <w:pPr>
        <w:adjustRightInd w:val="0"/>
        <w:snapToGrid w:val="0"/>
        <w:ind w:left="840" w:hanging="840" w:hangingChars="400"/>
        <w:jc w:val="left"/>
        <w:rPr>
          <w:rFonts w:ascii="宋体" w:hAnsi="宋体"/>
          <w:szCs w:val="21"/>
        </w:rPr>
      </w:pPr>
      <w:r>
        <w:rPr>
          <w:rFonts w:ascii="宋体" w:hAnsi="宋体"/>
          <w:szCs w:val="21"/>
        </w:rPr>
        <w:t>35.3.2</w:t>
      </w:r>
      <w:r>
        <w:rPr>
          <w:rFonts w:hint="eastAsia" w:ascii="宋体" w:hAnsi="宋体"/>
          <w:szCs w:val="21"/>
        </w:rPr>
        <w:t xml:space="preserve">  乙方对于工程的质量负全部责任，甲方、监理单位及其它各方对于工程的检查、验收结果并不免除乙方的任何质量责任。</w:t>
      </w:r>
    </w:p>
    <w:p>
      <w:pPr>
        <w:adjustRightInd w:val="0"/>
        <w:snapToGrid w:val="0"/>
        <w:ind w:left="840" w:hanging="840" w:hangingChars="400"/>
        <w:jc w:val="left"/>
        <w:rPr>
          <w:rFonts w:ascii="宋体" w:hAnsi="宋体"/>
          <w:szCs w:val="21"/>
        </w:rPr>
      </w:pPr>
      <w:r>
        <w:rPr>
          <w:rFonts w:ascii="宋体" w:hAnsi="宋体"/>
          <w:szCs w:val="21"/>
        </w:rPr>
        <w:t>35.3.3</w:t>
      </w:r>
      <w:r>
        <w:rPr>
          <w:rFonts w:hint="eastAsia" w:ascii="宋体" w:hAnsi="宋体"/>
          <w:szCs w:val="21"/>
        </w:rPr>
        <w:t xml:space="preserve">  乙方必须对所有卫生间、厨房、阳台、屋面等结构面上储水试验</w:t>
      </w:r>
      <w:r>
        <w:rPr>
          <w:rFonts w:ascii="宋体" w:hAnsi="宋体"/>
          <w:szCs w:val="21"/>
        </w:rPr>
        <w:t>48小时，并经</w:t>
      </w:r>
      <w:r>
        <w:rPr>
          <w:rFonts w:hint="eastAsia" w:ascii="宋体" w:hAnsi="宋体"/>
          <w:szCs w:val="21"/>
        </w:rPr>
        <w:t>甲方及监理单位检查不渗漏，方可移交给防水单位及其它施工单位。</w:t>
      </w:r>
    </w:p>
    <w:p>
      <w:pPr>
        <w:adjustRightInd w:val="0"/>
        <w:snapToGrid w:val="0"/>
        <w:ind w:left="840" w:hanging="840" w:hangingChars="400"/>
        <w:jc w:val="left"/>
        <w:rPr>
          <w:rFonts w:ascii="宋体" w:hAnsi="宋体"/>
          <w:szCs w:val="21"/>
        </w:rPr>
      </w:pPr>
      <w:r>
        <w:rPr>
          <w:rFonts w:ascii="宋体" w:hAnsi="宋体"/>
          <w:szCs w:val="21"/>
        </w:rPr>
        <w:t>35.3.4</w:t>
      </w:r>
      <w:r>
        <w:rPr>
          <w:rFonts w:hint="eastAsia" w:ascii="宋体" w:hAnsi="宋体"/>
          <w:szCs w:val="21"/>
        </w:rPr>
        <w:t xml:space="preserve">  乙方必须对外墙饰面（涂料、面砖、抹灰层）淋水试验达到</w:t>
      </w:r>
      <w:r>
        <w:rPr>
          <w:rFonts w:ascii="宋体" w:hAnsi="宋体"/>
          <w:szCs w:val="21"/>
        </w:rPr>
        <w:t>12小时（淋水试验每六层设置一道，</w:t>
      </w:r>
      <w:r>
        <w:rPr>
          <w:rFonts w:hint="eastAsia" w:ascii="宋体" w:hAnsi="宋体"/>
          <w:szCs w:val="21"/>
        </w:rPr>
        <w:t>水压力为</w:t>
      </w:r>
      <w:r>
        <w:rPr>
          <w:rFonts w:ascii="宋体" w:hAnsi="宋体"/>
          <w:szCs w:val="21"/>
        </w:rPr>
        <w:t>2公斤，流量为0.5L/S*m（水管管长），PVC管为Φ25，孔距100mm</w:t>
      </w:r>
      <w:r>
        <w:rPr>
          <w:rFonts w:hint="eastAsia" w:ascii="宋体" w:hAnsi="宋体"/>
          <w:szCs w:val="21"/>
        </w:rPr>
        <w:t>），并经监理工程师检查不渗漏方可移交。</w:t>
      </w:r>
    </w:p>
    <w:p>
      <w:pPr>
        <w:adjustRightInd w:val="0"/>
        <w:snapToGrid w:val="0"/>
        <w:ind w:left="840" w:hanging="840" w:hangingChars="400"/>
        <w:jc w:val="left"/>
        <w:rPr>
          <w:rFonts w:ascii="宋体" w:hAnsi="宋体"/>
          <w:szCs w:val="21"/>
        </w:rPr>
      </w:pPr>
      <w:r>
        <w:rPr>
          <w:rFonts w:ascii="宋体" w:hAnsi="宋体"/>
          <w:szCs w:val="21"/>
        </w:rPr>
        <w:t>35.3.5 若房屋任何部位出现渗漏，乙方必须立即整改，并在完成整改后重复以上实验。如导致第三方（包括甲方指定</w:t>
      </w:r>
      <w:r>
        <w:rPr>
          <w:rFonts w:hint="eastAsia" w:ascii="宋体" w:hAnsi="宋体"/>
          <w:szCs w:val="21"/>
        </w:rPr>
        <w:t>分包单位和购房业主）损失及索赔的，乙方应无条件予以修复或赔偿。</w:t>
      </w:r>
    </w:p>
    <w:p>
      <w:pPr>
        <w:adjustRightInd w:val="0"/>
        <w:snapToGrid w:val="0"/>
        <w:ind w:left="840" w:hanging="840" w:hangingChars="400"/>
        <w:jc w:val="left"/>
        <w:rPr>
          <w:rFonts w:ascii="宋体" w:hAnsi="宋体"/>
          <w:szCs w:val="21"/>
        </w:rPr>
      </w:pPr>
      <w:r>
        <w:rPr>
          <w:rFonts w:ascii="宋体" w:hAnsi="宋体"/>
          <w:szCs w:val="21"/>
        </w:rPr>
        <w:t>35.3.6</w:t>
      </w:r>
      <w:r>
        <w:rPr>
          <w:rFonts w:hint="eastAsia" w:ascii="宋体" w:hAnsi="宋体"/>
          <w:szCs w:val="21"/>
        </w:rPr>
        <w:t xml:space="preserve">  对第三方提起的质量索赔，由甲方通知乙方列席参与谈判，但若乙方未按时参加谈判，则视作乙方授权甲方全权代表乙方与第三方进行谈判，所有的谈判结果均由乙方承担。</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hint="eastAsia" w:ascii="宋体" w:hAnsi="宋体"/>
          <w:b/>
          <w:szCs w:val="21"/>
        </w:rPr>
        <w:t>36、质量目标</w:t>
      </w:r>
    </w:p>
    <w:p>
      <w:pPr>
        <w:adjustRightInd w:val="0"/>
        <w:snapToGrid w:val="0"/>
        <w:ind w:left="840" w:hanging="840" w:hangingChars="400"/>
        <w:jc w:val="left"/>
        <w:rPr>
          <w:rFonts w:ascii="宋体" w:hAnsi="宋体"/>
          <w:szCs w:val="21"/>
        </w:rPr>
      </w:pPr>
      <w:r>
        <w:rPr>
          <w:rFonts w:hint="eastAsia" w:ascii="宋体" w:hAnsi="宋体"/>
          <w:szCs w:val="21"/>
        </w:rPr>
        <w:t>36.1    约定工程质量标准：按本合同协议书第五条约定执行。</w:t>
      </w:r>
    </w:p>
    <w:p>
      <w:pPr>
        <w:adjustRightInd w:val="0"/>
        <w:snapToGrid w:val="0"/>
        <w:ind w:left="840" w:hanging="840" w:hangingChars="400"/>
        <w:jc w:val="left"/>
        <w:rPr>
          <w:rFonts w:ascii="宋体" w:hAnsi="宋体"/>
          <w:szCs w:val="21"/>
        </w:rPr>
      </w:pPr>
      <w:r>
        <w:rPr>
          <w:rFonts w:ascii="宋体" w:hAnsi="宋体"/>
          <w:szCs w:val="21"/>
        </w:rPr>
        <w:t>36.2</w:t>
      </w:r>
      <w:r>
        <w:rPr>
          <w:rFonts w:hint="eastAsia" w:ascii="宋体" w:hAnsi="宋体"/>
          <w:szCs w:val="21"/>
        </w:rPr>
        <w:t xml:space="preserve">    工程质量有争议的责任：本合同通用条款第</w:t>
      </w:r>
      <w:r>
        <w:rPr>
          <w:rFonts w:ascii="宋体" w:hAnsi="宋体"/>
          <w:szCs w:val="21"/>
        </w:rPr>
        <w:t>36.2</w:t>
      </w:r>
      <w:r>
        <w:rPr>
          <w:rFonts w:hint="eastAsia" w:ascii="宋体" w:hAnsi="宋体"/>
          <w:szCs w:val="21"/>
        </w:rPr>
        <w:t>款不予适用。若乙方对甲方有关做出的工程安全和工程质量问题的认定存在异议且双方无法达成一致，则双方同意交由甲方指定的建设工程安全监督机构及建设工程质量检测机构处理。若经前述机构确定，乙方异议成立，则前述检测所产生的费用由甲方承担，否则检测费用以及工期延迟的责任均由乙方自行承担。</w:t>
      </w:r>
    </w:p>
    <w:p>
      <w:pPr>
        <w:adjustRightInd w:val="0"/>
        <w:snapToGrid w:val="0"/>
        <w:ind w:left="840" w:hanging="840" w:hangingChars="400"/>
        <w:jc w:val="left"/>
        <w:rPr>
          <w:rFonts w:ascii="宋体" w:hAnsi="宋体"/>
          <w:szCs w:val="21"/>
          <w:u w:val="single"/>
        </w:rPr>
      </w:pPr>
    </w:p>
    <w:p>
      <w:pPr>
        <w:adjustRightInd w:val="0"/>
        <w:snapToGrid w:val="0"/>
        <w:ind w:left="843" w:hanging="840" w:hangingChars="400"/>
        <w:jc w:val="left"/>
        <w:rPr>
          <w:rFonts w:ascii="宋体" w:hAnsi="宋体"/>
          <w:b/>
          <w:szCs w:val="21"/>
        </w:rPr>
      </w:pPr>
      <w:r>
        <w:rPr>
          <w:rFonts w:ascii="宋体" w:hAnsi="宋体"/>
          <w:b/>
          <w:szCs w:val="21"/>
        </w:rPr>
        <w:t>38</w:t>
      </w:r>
      <w:r>
        <w:rPr>
          <w:rFonts w:hint="eastAsia" w:ascii="宋体" w:hAnsi="宋体"/>
          <w:b/>
          <w:szCs w:val="21"/>
        </w:rPr>
        <w:t>、安全防护和文明施工</w:t>
      </w:r>
    </w:p>
    <w:p>
      <w:pPr>
        <w:adjustRightInd w:val="0"/>
        <w:snapToGrid w:val="0"/>
        <w:ind w:left="840" w:hanging="840" w:hangingChars="400"/>
        <w:jc w:val="left"/>
        <w:rPr>
          <w:rFonts w:ascii="宋体" w:hAnsi="宋体"/>
          <w:szCs w:val="21"/>
        </w:rPr>
      </w:pPr>
      <w:r>
        <w:rPr>
          <w:rFonts w:ascii="宋体" w:hAnsi="宋体"/>
          <w:szCs w:val="21"/>
        </w:rPr>
        <w:t>38.3乙方责任</w:t>
      </w:r>
    </w:p>
    <w:p>
      <w:pPr>
        <w:adjustRightInd w:val="0"/>
        <w:snapToGrid w:val="0"/>
        <w:ind w:left="840" w:hanging="840" w:hangingChars="400"/>
        <w:rPr>
          <w:rFonts w:ascii="宋体" w:hAnsi="宋体"/>
          <w:szCs w:val="21"/>
        </w:rPr>
      </w:pPr>
      <w:r>
        <w:rPr>
          <w:rFonts w:ascii="宋体" w:hAnsi="宋体"/>
          <w:szCs w:val="21"/>
        </w:rPr>
        <w:t>38.3.1</w:t>
      </w:r>
      <w:r>
        <w:rPr>
          <w:rFonts w:hint="eastAsia" w:ascii="宋体" w:hAnsi="宋体"/>
          <w:szCs w:val="21"/>
        </w:rPr>
        <w:t xml:space="preserve">  乙方应按本合同及</w:t>
      </w:r>
      <w:r>
        <w:rPr>
          <w:rFonts w:hint="eastAsia" w:ascii="宋体" w:hAnsi="宋体"/>
          <w:szCs w:val="21"/>
          <w:u w:val="single"/>
        </w:rPr>
        <w:t>附件五《工程施工管理条例》</w:t>
      </w:r>
      <w:r>
        <w:rPr>
          <w:rFonts w:hint="eastAsia" w:ascii="宋体" w:hAnsi="宋体"/>
          <w:szCs w:val="21"/>
        </w:rPr>
        <w:t>的要求实施安全文明施工。</w:t>
      </w:r>
    </w:p>
    <w:p>
      <w:pPr>
        <w:adjustRightInd w:val="0"/>
        <w:snapToGrid w:val="0"/>
        <w:ind w:left="840" w:hanging="840" w:hangingChars="400"/>
        <w:jc w:val="left"/>
        <w:rPr>
          <w:rFonts w:ascii="宋体" w:hAnsi="宋体"/>
          <w:szCs w:val="21"/>
        </w:rPr>
      </w:pPr>
      <w:r>
        <w:rPr>
          <w:rFonts w:ascii="宋体" w:hAnsi="宋体"/>
          <w:szCs w:val="21"/>
        </w:rPr>
        <w:t>38.3.2</w:t>
      </w:r>
      <w:r>
        <w:rPr>
          <w:rFonts w:hint="eastAsia" w:ascii="宋体" w:hAnsi="宋体"/>
          <w:szCs w:val="21"/>
        </w:rPr>
        <w:t xml:space="preserve">  乙方应随时准备接受相关政府主管部门的监督检查。如达不到安全文明工地标准，乙方必须立即按要求进行整改，由此造成的工期、费用损失由乙方负责，由此造成甲方进度损失的，甲方有权追究乙方违约责任。</w:t>
      </w:r>
    </w:p>
    <w:p>
      <w:pPr>
        <w:adjustRightInd w:val="0"/>
        <w:snapToGrid w:val="0"/>
        <w:ind w:left="840" w:hanging="840" w:hangingChars="400"/>
        <w:jc w:val="left"/>
        <w:rPr>
          <w:rFonts w:ascii="宋体" w:hAnsi="宋体"/>
          <w:szCs w:val="21"/>
        </w:rPr>
      </w:pPr>
      <w:r>
        <w:rPr>
          <w:rFonts w:ascii="宋体" w:hAnsi="宋体"/>
          <w:szCs w:val="21"/>
        </w:rPr>
        <w:t>38.3.3</w:t>
      </w:r>
      <w:r>
        <w:rPr>
          <w:rFonts w:hint="eastAsia" w:ascii="宋体" w:hAnsi="宋体"/>
          <w:szCs w:val="21"/>
        </w:rPr>
        <w:t xml:space="preserve">  乙方全体现场施工人员必须配戴安全帽，管理人员佩带工作牌，否则乙方应向甲方支付人民币</w:t>
      </w:r>
      <w:r>
        <w:rPr>
          <w:rFonts w:ascii="宋体" w:hAnsi="宋体"/>
          <w:szCs w:val="21"/>
        </w:rPr>
        <w:t xml:space="preserve">100 </w:t>
      </w:r>
      <w:r>
        <w:rPr>
          <w:rFonts w:hint="eastAsia" w:ascii="宋体" w:hAnsi="宋体"/>
          <w:szCs w:val="21"/>
        </w:rPr>
        <w:t>元</w:t>
      </w:r>
      <w:r>
        <w:rPr>
          <w:rFonts w:ascii="宋体" w:hAnsi="宋体"/>
          <w:szCs w:val="21"/>
        </w:rPr>
        <w:t>/人次的违约金。</w:t>
      </w:r>
    </w:p>
    <w:p>
      <w:pPr>
        <w:adjustRightInd w:val="0"/>
        <w:snapToGrid w:val="0"/>
        <w:ind w:left="840" w:hanging="840" w:hangingChars="400"/>
        <w:jc w:val="left"/>
        <w:rPr>
          <w:rFonts w:ascii="宋体" w:hAnsi="宋体"/>
          <w:szCs w:val="21"/>
        </w:rPr>
      </w:pPr>
      <w:r>
        <w:rPr>
          <w:rFonts w:ascii="宋体" w:hAnsi="宋体"/>
          <w:szCs w:val="21"/>
        </w:rPr>
        <w:t>38.3.4未经甲方书面许可，本工程禁止任何不属于乙方之人员（甲方、甲方授权人员除外，甲方及甲方授权人员均佩戴工作牌）以任何名义进入乙方施工现场。乙方若出于需要安排有关人员参观本工程，必须经过甲方认可，否则乙方应向甲方支付人民币1000 元/人次的违约金。</w:t>
      </w:r>
    </w:p>
    <w:p>
      <w:pPr>
        <w:adjustRightInd w:val="0"/>
        <w:snapToGrid w:val="0"/>
        <w:ind w:left="840" w:hanging="840" w:hangingChars="400"/>
        <w:jc w:val="left"/>
        <w:rPr>
          <w:rFonts w:ascii="宋体" w:hAnsi="宋体"/>
          <w:szCs w:val="21"/>
        </w:rPr>
      </w:pPr>
      <w:r>
        <w:rPr>
          <w:rFonts w:ascii="宋体" w:hAnsi="宋体"/>
          <w:szCs w:val="21"/>
        </w:rPr>
        <w:t>38.3.5</w:t>
      </w:r>
      <w:r>
        <w:rPr>
          <w:rFonts w:hint="eastAsia" w:ascii="宋体" w:hAnsi="宋体"/>
          <w:szCs w:val="21"/>
        </w:rPr>
        <w:t xml:space="preserve">  乙方应严格遵守地方政府和有关部门的规定，办理施工场地交通、噪声、环境卫生和场外污染等有关手续，加强施工现场的环境、卫生管理，在施工过程中严格落实粉尘、废水等污染防治措施及生态保护、水土保持措施。</w:t>
      </w:r>
    </w:p>
    <w:p>
      <w:pPr>
        <w:adjustRightInd w:val="0"/>
        <w:snapToGrid w:val="0"/>
        <w:ind w:left="840" w:hanging="840" w:hangingChars="400"/>
        <w:jc w:val="left"/>
        <w:rPr>
          <w:rFonts w:ascii="宋体" w:hAnsi="宋体"/>
          <w:szCs w:val="21"/>
        </w:rPr>
      </w:pPr>
      <w:r>
        <w:rPr>
          <w:rFonts w:ascii="宋体" w:hAnsi="宋体"/>
          <w:szCs w:val="21"/>
        </w:rPr>
        <w:t>38.3.6</w:t>
      </w:r>
      <w:r>
        <w:rPr>
          <w:rFonts w:hint="eastAsia" w:ascii="宋体" w:hAnsi="宋体"/>
          <w:szCs w:val="21"/>
        </w:rPr>
        <w:t xml:space="preserve">  现场安全文明施工应逐项落实到位，出现的问题应及时根据检查意见进行了彻底整改后，乙方方可申请安全生产措施费和文明施工措施费的支付。否则，甲方有权拒绝支付相应的款项。</w:t>
      </w:r>
    </w:p>
    <w:p>
      <w:pPr>
        <w:adjustRightInd w:val="0"/>
        <w:snapToGrid w:val="0"/>
        <w:ind w:left="840" w:hanging="840" w:hangingChars="400"/>
        <w:jc w:val="left"/>
        <w:rPr>
          <w:rFonts w:ascii="宋体" w:hAnsi="宋体"/>
          <w:szCs w:val="21"/>
        </w:rPr>
      </w:pPr>
      <w:r>
        <w:rPr>
          <w:rFonts w:ascii="宋体" w:hAnsi="宋体"/>
          <w:szCs w:val="21"/>
        </w:rPr>
        <w:t>38.3.7</w:t>
      </w:r>
      <w:r>
        <w:rPr>
          <w:rFonts w:hint="eastAsia" w:ascii="宋体" w:hAnsi="宋体"/>
          <w:szCs w:val="21"/>
        </w:rPr>
        <w:t xml:space="preserve">  现场用水用电</w:t>
      </w:r>
    </w:p>
    <w:p>
      <w:pPr>
        <w:adjustRightInd w:val="0"/>
        <w:snapToGrid w:val="0"/>
        <w:ind w:left="840" w:hanging="840" w:hangingChars="400"/>
        <w:jc w:val="left"/>
        <w:rPr>
          <w:rFonts w:ascii="宋体" w:hAnsi="宋体"/>
          <w:szCs w:val="21"/>
        </w:rPr>
      </w:pPr>
      <w:r>
        <w:rPr>
          <w:rFonts w:ascii="宋体" w:hAnsi="宋体"/>
          <w:szCs w:val="21"/>
        </w:rPr>
        <w:t>38.3.7.1</w:t>
      </w:r>
      <w:r>
        <w:rPr>
          <w:rFonts w:hint="eastAsia" w:ascii="宋体" w:hAnsi="宋体"/>
          <w:szCs w:val="21"/>
        </w:rPr>
        <w:t>因为市政停水、停电乙方工期不顺延。乙方必须准备备用发电机、水池等设施，以确保市网停电停水时能正常施工。</w:t>
      </w:r>
    </w:p>
    <w:p>
      <w:pPr>
        <w:adjustRightInd w:val="0"/>
        <w:snapToGrid w:val="0"/>
        <w:ind w:left="840" w:hanging="840" w:hangingChars="400"/>
        <w:jc w:val="left"/>
        <w:rPr>
          <w:rFonts w:ascii="宋体" w:hAnsi="宋体"/>
          <w:szCs w:val="21"/>
        </w:rPr>
      </w:pPr>
      <w:r>
        <w:rPr>
          <w:rFonts w:ascii="宋体" w:hAnsi="宋体"/>
          <w:szCs w:val="21"/>
        </w:rPr>
        <w:t>38.3.7.2施工用电用水必须安装水表、电表，乙方总水、电表安装及移位必须经甲方同意。安装完成后双方共同抄底度数，并签字认可。水表、电表须经过有关部门检测。</w:t>
      </w:r>
    </w:p>
    <w:p>
      <w:pPr>
        <w:adjustRightInd w:val="0"/>
        <w:snapToGrid w:val="0"/>
        <w:ind w:left="840" w:hanging="840" w:hangingChars="400"/>
        <w:jc w:val="left"/>
        <w:rPr>
          <w:rFonts w:ascii="宋体" w:hAnsi="宋体"/>
          <w:szCs w:val="21"/>
        </w:rPr>
      </w:pPr>
      <w:r>
        <w:rPr>
          <w:rFonts w:ascii="宋体" w:hAnsi="宋体"/>
          <w:szCs w:val="21"/>
        </w:rPr>
        <w:t>38.3.7.3</w:t>
      </w:r>
      <w:r>
        <w:rPr>
          <w:rFonts w:hint="eastAsia" w:ascii="宋体" w:hAnsi="宋体"/>
          <w:szCs w:val="21"/>
        </w:rPr>
        <w:t>施工用水电费由乙方向供电局、自来水公司直接支付。</w:t>
      </w:r>
    </w:p>
    <w:p>
      <w:pPr>
        <w:adjustRightInd w:val="0"/>
        <w:snapToGrid w:val="0"/>
        <w:ind w:left="840" w:hanging="840" w:hangingChars="400"/>
        <w:jc w:val="left"/>
        <w:rPr>
          <w:rFonts w:ascii="宋体" w:hAnsi="宋体"/>
          <w:szCs w:val="21"/>
        </w:rPr>
      </w:pPr>
      <w:r>
        <w:rPr>
          <w:rFonts w:ascii="宋体" w:hAnsi="宋体"/>
          <w:szCs w:val="21"/>
        </w:rPr>
        <w:t>38.3.7.4</w:t>
      </w:r>
      <w:r>
        <w:rPr>
          <w:rFonts w:hint="eastAsia" w:ascii="宋体" w:hAnsi="宋体"/>
          <w:szCs w:val="21"/>
        </w:rPr>
        <w:t>双方约定施工现场安全网、施工围墙广告权益属甲方。未经甲方许可，乙方不得在这些设施上面悬挂任何广告。</w:t>
      </w:r>
    </w:p>
    <w:p>
      <w:pPr>
        <w:adjustRightInd w:val="0"/>
        <w:snapToGrid w:val="0"/>
        <w:ind w:left="840" w:hanging="840" w:hangingChars="400"/>
        <w:jc w:val="left"/>
        <w:rPr>
          <w:rFonts w:ascii="宋体" w:hAnsi="宋体"/>
          <w:szCs w:val="21"/>
        </w:rPr>
      </w:pPr>
      <w:r>
        <w:rPr>
          <w:rFonts w:ascii="宋体" w:hAnsi="宋体"/>
          <w:szCs w:val="21"/>
        </w:rPr>
        <w:t>38.5安全防护</w:t>
      </w:r>
    </w:p>
    <w:p>
      <w:pPr>
        <w:adjustRightInd w:val="0"/>
        <w:snapToGrid w:val="0"/>
        <w:ind w:left="840" w:hanging="840" w:hangingChars="400"/>
        <w:jc w:val="left"/>
        <w:rPr>
          <w:rFonts w:ascii="宋体" w:hAnsi="宋体"/>
          <w:szCs w:val="21"/>
        </w:rPr>
      </w:pPr>
      <w:r>
        <w:rPr>
          <w:rFonts w:ascii="宋体" w:hAnsi="宋体"/>
          <w:szCs w:val="21"/>
        </w:rPr>
        <w:t>38.5.1</w:t>
      </w:r>
      <w:r>
        <w:rPr>
          <w:rFonts w:hint="eastAsia" w:ascii="宋体" w:hAnsi="宋体"/>
          <w:szCs w:val="21"/>
        </w:rPr>
        <w:t xml:space="preserve">  乙方负责施工期间整个工地现场（含办公区及生活区）以内及周边的安全防护、安全管理工作，确保施工安全和第三者的安全。对于任何进入施工现场的人员、车辆，乙方必须采取相应的安全管理措施（如门禁措施、安全交底措施等）。</w:t>
      </w:r>
    </w:p>
    <w:p>
      <w:pPr>
        <w:adjustRightInd w:val="0"/>
        <w:snapToGrid w:val="0"/>
        <w:ind w:left="840" w:hanging="840" w:hangingChars="400"/>
        <w:jc w:val="left"/>
        <w:rPr>
          <w:rFonts w:ascii="宋体" w:hAnsi="宋体"/>
          <w:szCs w:val="21"/>
        </w:rPr>
      </w:pPr>
      <w:r>
        <w:rPr>
          <w:rFonts w:ascii="宋体" w:hAnsi="宋体"/>
          <w:szCs w:val="21"/>
        </w:rPr>
        <w:t>38.5.2</w:t>
      </w:r>
      <w:r>
        <w:rPr>
          <w:rFonts w:hint="eastAsia" w:ascii="宋体" w:hAnsi="宋体"/>
          <w:szCs w:val="21"/>
        </w:rPr>
        <w:t xml:space="preserve">  乙方必须严格按安全规范组织施工，积极采取必要的安全防护措施，消除事故隐患。工程施工过程中发生的事故责任以及由此发生的全部费用及损失，均由乙方承担。</w:t>
      </w:r>
    </w:p>
    <w:p>
      <w:pPr>
        <w:adjustRightInd w:val="0"/>
        <w:snapToGrid w:val="0"/>
        <w:ind w:left="840" w:hanging="840" w:hangingChars="400"/>
        <w:jc w:val="left"/>
        <w:rPr>
          <w:rFonts w:ascii="宋体" w:hAnsi="宋体"/>
          <w:szCs w:val="21"/>
        </w:rPr>
      </w:pPr>
      <w:r>
        <w:rPr>
          <w:rFonts w:ascii="宋体" w:hAnsi="宋体"/>
          <w:szCs w:val="21"/>
        </w:rPr>
        <w:t>38.5.3</w:t>
      </w:r>
      <w:r>
        <w:rPr>
          <w:rFonts w:hint="eastAsia" w:ascii="宋体" w:hAnsi="宋体"/>
          <w:szCs w:val="21"/>
        </w:rPr>
        <w:t xml:space="preserve">  乙方必须按安全施工有关规定，采取严格、科学的安全防护措施，施工现场均应按工程需要设置必要的照明、看守、围栏和保卫及其它的保护措施。</w:t>
      </w:r>
    </w:p>
    <w:p>
      <w:pPr>
        <w:adjustRightInd w:val="0"/>
        <w:snapToGrid w:val="0"/>
        <w:ind w:left="840" w:hanging="840" w:hangingChars="400"/>
        <w:jc w:val="left"/>
        <w:rPr>
          <w:rFonts w:ascii="宋体" w:hAnsi="宋体"/>
          <w:szCs w:val="21"/>
        </w:rPr>
      </w:pPr>
      <w:r>
        <w:rPr>
          <w:rFonts w:ascii="宋体" w:hAnsi="宋体"/>
          <w:szCs w:val="21"/>
        </w:rPr>
        <w:t>38.5.4 乙方必须在临街交通道路附近、销售现场、施工现场等危险场所搭设安全防护设施，确保施工安全和第三者</w:t>
      </w:r>
      <w:r>
        <w:rPr>
          <w:rFonts w:hint="eastAsia" w:ascii="宋体" w:hAnsi="宋体"/>
          <w:szCs w:val="21"/>
        </w:rPr>
        <w:t>安全，并承担由于安全措施不力造成事故的责任和由此发生的全部费用及损失。</w:t>
      </w:r>
    </w:p>
    <w:p>
      <w:pPr>
        <w:adjustRightInd w:val="0"/>
        <w:snapToGrid w:val="0"/>
        <w:ind w:left="840" w:hanging="840" w:hangingChars="400"/>
        <w:jc w:val="left"/>
        <w:rPr>
          <w:rFonts w:ascii="宋体" w:hAnsi="宋体"/>
          <w:szCs w:val="21"/>
        </w:rPr>
      </w:pPr>
      <w:r>
        <w:rPr>
          <w:rFonts w:ascii="宋体" w:hAnsi="宋体"/>
          <w:szCs w:val="21"/>
        </w:rPr>
        <w:t>38.5.5</w:t>
      </w:r>
      <w:r>
        <w:rPr>
          <w:rFonts w:hint="eastAsia" w:ascii="宋体" w:hAnsi="宋体"/>
          <w:szCs w:val="21"/>
        </w:rPr>
        <w:t xml:space="preserve">  甲方有权按</w:t>
      </w:r>
      <w:r>
        <w:rPr>
          <w:rFonts w:hint="eastAsia" w:ascii="宋体" w:hAnsi="宋体"/>
          <w:szCs w:val="21"/>
          <w:u w:val="single"/>
        </w:rPr>
        <w:t>附件六《建筑施工安全检查评分汇总表》</w:t>
      </w:r>
      <w:r>
        <w:rPr>
          <w:rFonts w:hint="eastAsia" w:ascii="宋体" w:hAnsi="宋体"/>
          <w:szCs w:val="21"/>
        </w:rPr>
        <w:t>每月对施工安全进行检查，乙方必须对甲方安全检查不合格的部位立即整改，并通知监理复检。</w:t>
      </w:r>
    </w:p>
    <w:p>
      <w:pPr>
        <w:adjustRightInd w:val="0"/>
        <w:snapToGrid w:val="0"/>
        <w:ind w:left="840" w:hanging="840" w:hangingChars="400"/>
        <w:jc w:val="left"/>
        <w:rPr>
          <w:rFonts w:ascii="宋体" w:hAnsi="宋体"/>
          <w:szCs w:val="21"/>
        </w:rPr>
      </w:pPr>
      <w:r>
        <w:rPr>
          <w:rFonts w:ascii="宋体" w:hAnsi="宋体"/>
          <w:szCs w:val="21"/>
        </w:rPr>
        <w:t>38.5.6</w:t>
      </w:r>
      <w:r>
        <w:rPr>
          <w:rFonts w:hint="eastAsia" w:ascii="宋体" w:hAnsi="宋体"/>
          <w:szCs w:val="21"/>
        </w:rPr>
        <w:t>如发生重大伤亡及其他安全事故，乙方应按有关规定立即上报有关部门并通知甲方、监理单位，同时按政府有关部门要求处理，由事故责任方承担发生的费用。</w:t>
      </w:r>
    </w:p>
    <w:p>
      <w:pPr>
        <w:adjustRightInd w:val="0"/>
        <w:snapToGrid w:val="0"/>
        <w:ind w:left="840" w:hanging="840" w:hangingChars="400"/>
        <w:jc w:val="left"/>
        <w:rPr>
          <w:rFonts w:ascii="宋体" w:hAnsi="宋体"/>
          <w:szCs w:val="21"/>
        </w:rPr>
      </w:pPr>
      <w:r>
        <w:rPr>
          <w:rFonts w:ascii="宋体" w:hAnsi="宋体"/>
          <w:szCs w:val="21"/>
        </w:rPr>
        <w:t>38.6乙方的现场作业</w:t>
      </w:r>
    </w:p>
    <w:p>
      <w:pPr>
        <w:adjustRightInd w:val="0"/>
        <w:snapToGrid w:val="0"/>
        <w:ind w:left="840" w:hanging="840" w:hangingChars="400"/>
        <w:jc w:val="left"/>
        <w:rPr>
          <w:rFonts w:ascii="宋体" w:hAnsi="宋体"/>
          <w:szCs w:val="21"/>
        </w:rPr>
      </w:pPr>
      <w:r>
        <w:rPr>
          <w:rFonts w:ascii="宋体" w:hAnsi="宋体"/>
          <w:szCs w:val="21"/>
        </w:rPr>
        <w:t>38.6.1施工平面布置须考虑周全，并经</w:t>
      </w:r>
      <w:r>
        <w:rPr>
          <w:rFonts w:hint="eastAsia" w:ascii="宋体" w:hAnsi="宋体"/>
          <w:szCs w:val="21"/>
        </w:rPr>
        <w:t>甲方、监理单位书面审核后方可实施。如乙方计划使用本项目红线范围内，施工平面布置范围外的区域时，必须提前申报甲方认可。</w:t>
      </w:r>
    </w:p>
    <w:p>
      <w:pPr>
        <w:adjustRightInd w:val="0"/>
        <w:snapToGrid w:val="0"/>
        <w:ind w:left="840" w:hanging="840" w:hangingChars="400"/>
        <w:jc w:val="left"/>
        <w:rPr>
          <w:rFonts w:ascii="宋体" w:hAnsi="宋体"/>
          <w:szCs w:val="21"/>
        </w:rPr>
      </w:pPr>
      <w:r>
        <w:rPr>
          <w:rFonts w:ascii="宋体" w:hAnsi="宋体"/>
          <w:szCs w:val="21"/>
        </w:rPr>
        <w:t>38.6.2</w:t>
      </w:r>
      <w:r>
        <w:rPr>
          <w:rFonts w:hint="eastAsia" w:ascii="宋体" w:hAnsi="宋体"/>
          <w:szCs w:val="21"/>
        </w:rPr>
        <w:t xml:space="preserve">  施工期间，乙方应及时整理和安排所有机械、工具、材料、建筑垃圾等，做到工完场清，工程建设中每个楼层的多余材料、建筑垃圾必须通过井架或垃圾槽运输到地面，严禁从高空直接向下抛物。</w:t>
      </w:r>
    </w:p>
    <w:p>
      <w:pPr>
        <w:adjustRightInd w:val="0"/>
        <w:snapToGrid w:val="0"/>
        <w:ind w:left="840" w:hanging="840" w:hangingChars="400"/>
        <w:jc w:val="left"/>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41、甲方供应材料设备</w:t>
      </w:r>
    </w:p>
    <w:p>
      <w:pPr>
        <w:adjustRightInd w:val="0"/>
        <w:snapToGrid w:val="0"/>
        <w:ind w:left="840" w:hanging="840" w:hangingChars="400"/>
        <w:rPr>
          <w:rFonts w:ascii="宋体" w:hAnsi="宋体"/>
          <w:szCs w:val="21"/>
        </w:rPr>
      </w:pPr>
      <w:r>
        <w:rPr>
          <w:rFonts w:hint="eastAsia" w:ascii="宋体" w:hAnsi="宋体"/>
          <w:szCs w:val="21"/>
        </w:rPr>
        <w:t>41.1    约定供应的材料设备（若有）</w:t>
      </w:r>
    </w:p>
    <w:p>
      <w:pPr>
        <w:adjustRightInd w:val="0"/>
        <w:snapToGrid w:val="0"/>
        <w:ind w:left="840" w:hanging="840" w:hangingChars="400"/>
        <w:rPr>
          <w:rFonts w:ascii="宋体" w:hAnsi="宋体"/>
          <w:szCs w:val="21"/>
        </w:rPr>
      </w:pPr>
      <w:r>
        <w:rPr>
          <w:rFonts w:hint="eastAsia" w:ascii="宋体" w:hAnsi="宋体"/>
          <w:szCs w:val="21"/>
        </w:rPr>
        <w:t>41.1.1  乙方应在图纸会审后30天内编制材料进场计划（包括品种、规格、数量、进场时间等）并报送监理单位；因乙方不及时上报或上报数据有误，造成材料供应不及时的，责任由乙方承担若乙方需要补充或修改采购计划，应在该材料设备进场前</w:t>
      </w:r>
      <w:r>
        <w:rPr>
          <w:rFonts w:ascii="宋体" w:hAnsi="宋体"/>
          <w:szCs w:val="21"/>
        </w:rPr>
        <w:t>30天提出。因乙方原因造成供应商多次供货，</w:t>
      </w:r>
      <w:r>
        <w:rPr>
          <w:rFonts w:hint="eastAsia" w:ascii="宋体" w:hAnsi="宋体"/>
          <w:szCs w:val="21"/>
        </w:rPr>
        <w:t>由此给甲方造成的损失均由乙方承担。</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2    </w:t>
      </w:r>
      <w:r>
        <w:rPr>
          <w:rFonts w:ascii="宋体" w:hAnsi="宋体"/>
          <w:szCs w:val="21"/>
        </w:rPr>
        <w:t>乙方保管甲方供应材料设备：验货后，乙方须负责自行承担费用保管、由中转场地至工地的二次搬运、从储存点运至安装点及安装。</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3    </w:t>
      </w:r>
      <w:r>
        <w:rPr>
          <w:rFonts w:ascii="宋体" w:hAnsi="宋体"/>
          <w:szCs w:val="21"/>
        </w:rPr>
        <w:t>供应材料设备使用前的检验：甲供材料设备，应提前24小时通知乙方，货物运到现场后，乙方应指定甲供材料交货地点，提供的甲供材料交货地点应为机动车可以到达的位置</w:t>
      </w:r>
      <w:r>
        <w:rPr>
          <w:rFonts w:hint="eastAsia" w:ascii="宋体" w:hAnsi="宋体"/>
          <w:szCs w:val="21"/>
        </w:rPr>
        <w:t>。甲供材料的场内倒运由乙方负责，由此发生的所有费用已全部包含在本合同价款中。乙方应在货到</w:t>
      </w:r>
      <w:r>
        <w:rPr>
          <w:rFonts w:ascii="宋体" w:hAnsi="宋体"/>
          <w:szCs w:val="21"/>
        </w:rPr>
        <w:t>4</w:t>
      </w:r>
      <w:r>
        <w:rPr>
          <w:rFonts w:hint="eastAsia" w:ascii="宋体" w:hAnsi="宋体"/>
          <w:szCs w:val="21"/>
        </w:rPr>
        <w:t>小时内组织并完成验收，经验收无误的应在相关单据上签字。</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4    </w:t>
      </w:r>
      <w:r>
        <w:rPr>
          <w:rFonts w:ascii="宋体" w:hAnsi="宋体"/>
          <w:szCs w:val="21"/>
        </w:rPr>
        <w:t>约定结算方式：乙方对</w:t>
      </w:r>
      <w:r>
        <w:rPr>
          <w:rFonts w:hint="eastAsia" w:ascii="宋体" w:hAnsi="宋体"/>
          <w:szCs w:val="21"/>
        </w:rPr>
        <w:t>甲供材料设备承担管理和配合工作，由此发生的所有费用已全部包含在本合同价款总额中，甲方无需另行向乙方支付任何款项。</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42、</w:t>
      </w:r>
      <w:r>
        <w:rPr>
          <w:rFonts w:hint="eastAsia" w:ascii="宋体" w:hAnsi="宋体"/>
          <w:b/>
          <w:szCs w:val="21"/>
        </w:rPr>
        <w:t>乙方采购材料设备</w:t>
      </w:r>
    </w:p>
    <w:p>
      <w:pPr>
        <w:adjustRightInd w:val="0"/>
        <w:snapToGrid w:val="0"/>
        <w:ind w:left="840" w:hanging="840" w:hangingChars="400"/>
        <w:rPr>
          <w:rFonts w:ascii="宋体" w:hAnsi="宋体"/>
          <w:szCs w:val="21"/>
        </w:rPr>
      </w:pPr>
      <w:r>
        <w:rPr>
          <w:rFonts w:hint="eastAsia" w:ascii="宋体" w:hAnsi="宋体"/>
          <w:szCs w:val="21"/>
        </w:rPr>
        <w:t>42.1    乙方采购材料设备</w:t>
      </w:r>
    </w:p>
    <w:p>
      <w:pPr>
        <w:adjustRightInd w:val="0"/>
        <w:snapToGrid w:val="0"/>
        <w:ind w:left="840" w:hanging="840" w:hangingChars="400"/>
        <w:rPr>
          <w:rFonts w:ascii="宋体" w:hAnsi="宋体"/>
          <w:szCs w:val="21"/>
        </w:rPr>
      </w:pPr>
      <w:r>
        <w:rPr>
          <w:rFonts w:hint="eastAsia" w:ascii="宋体" w:hAnsi="宋体"/>
          <w:szCs w:val="21"/>
        </w:rPr>
        <w:t xml:space="preserve">42.1.1  施工用各类乙供材料设备，乙方均需向甲方报送供应商资料，其中包括材料设备样品、各种质量证明和其他有关技术资料，经监理单位审核、甲方审定并封样后方可采购与使用。 </w:t>
      </w:r>
    </w:p>
    <w:p>
      <w:pPr>
        <w:adjustRightInd w:val="0"/>
        <w:snapToGrid w:val="0"/>
        <w:ind w:left="840" w:hanging="840" w:hangingChars="400"/>
        <w:rPr>
          <w:rFonts w:ascii="宋体" w:hAnsi="宋体"/>
          <w:szCs w:val="21"/>
        </w:rPr>
      </w:pPr>
      <w:r>
        <w:rPr>
          <w:rFonts w:hint="eastAsia" w:ascii="宋体" w:hAnsi="宋体"/>
          <w:szCs w:val="21"/>
        </w:rPr>
        <w:t>42.1.2  乙方采购的所有材料设备均由乙方负责送检测部门进行检测，材料的送检抽样必须在施工现场进行，且须由监理单位或甲方在场监督，送检合格后方能使用，检验费由乙方承担。</w:t>
      </w:r>
    </w:p>
    <w:p>
      <w:pPr>
        <w:adjustRightInd w:val="0"/>
        <w:snapToGrid w:val="0"/>
        <w:ind w:left="840" w:hanging="840" w:hangingChars="400"/>
        <w:rPr>
          <w:rFonts w:ascii="宋体" w:hAnsi="宋体"/>
          <w:szCs w:val="21"/>
        </w:rPr>
      </w:pPr>
      <w:r>
        <w:rPr>
          <w:rFonts w:ascii="宋体" w:hAnsi="宋体"/>
          <w:szCs w:val="21"/>
        </w:rPr>
        <w:t>42.1.3乙方必须确保所使用的设备材料符合环境卫生有关规定，并必须执行《民用建筑工程室内环境污染控制规范》（GB50325-2001）中对材</w:t>
      </w:r>
      <w:r>
        <w:rPr>
          <w:rFonts w:hint="eastAsia" w:ascii="宋体" w:hAnsi="宋体"/>
          <w:szCs w:val="21"/>
        </w:rPr>
        <w:t>料要求的规定；禁止使用含铅油漆、含易碎石棉或含多氯聚笨等任何对人体有害的设备材料。</w:t>
      </w:r>
    </w:p>
    <w:p>
      <w:pPr>
        <w:adjustRightInd w:val="0"/>
        <w:snapToGrid w:val="0"/>
        <w:ind w:left="840" w:hanging="840" w:hangingChars="400"/>
        <w:rPr>
          <w:rFonts w:ascii="宋体" w:hAnsi="宋体"/>
          <w:szCs w:val="21"/>
        </w:rPr>
      </w:pPr>
      <w:r>
        <w:rPr>
          <w:rFonts w:ascii="宋体" w:hAnsi="宋体"/>
          <w:szCs w:val="21"/>
        </w:rPr>
        <w:t>42.1.4乙方应对其提供的材料设备（应附出厂合格证明文件）质量负责。对于经检验不合格部分的材料设备，乙方除应无条件更换外，并还应按不合格部分材料设备总价的20%向甲方支付违约金。</w:t>
      </w:r>
    </w:p>
    <w:p>
      <w:pPr>
        <w:adjustRightInd w:val="0"/>
        <w:snapToGrid w:val="0"/>
        <w:ind w:left="840" w:hanging="840" w:hangingChars="400"/>
        <w:rPr>
          <w:rFonts w:ascii="宋体" w:hAnsi="宋体"/>
          <w:szCs w:val="21"/>
        </w:rPr>
      </w:pPr>
      <w:r>
        <w:rPr>
          <w:rFonts w:hint="eastAsia" w:ascii="宋体" w:hAnsi="宋体"/>
          <w:szCs w:val="21"/>
        </w:rPr>
        <w:t>42.7    禁止指定采购材料设备</w:t>
      </w:r>
    </w:p>
    <w:p>
      <w:pPr>
        <w:adjustRightInd w:val="0"/>
        <w:snapToGrid w:val="0"/>
        <w:ind w:left="840" w:hanging="840" w:hangingChars="400"/>
        <w:rPr>
          <w:rFonts w:ascii="宋体" w:hAnsi="宋体"/>
          <w:szCs w:val="21"/>
        </w:rPr>
      </w:pPr>
      <w:r>
        <w:rPr>
          <w:rFonts w:hint="eastAsia" w:ascii="宋体" w:hAnsi="宋体"/>
          <w:szCs w:val="21"/>
        </w:rPr>
        <w:t>42.7.1  若甲方发现乙方订购的材料货物未按指定的品牌进行采购，乙方须重新订货，由此造成的损失由乙方自行承担。</w:t>
      </w:r>
    </w:p>
    <w:p>
      <w:pPr>
        <w:adjustRightInd w:val="0"/>
        <w:snapToGrid w:val="0"/>
        <w:ind w:left="840" w:hanging="840" w:hangingChars="400"/>
        <w:rPr>
          <w:rFonts w:ascii="宋体" w:hAnsi="宋体"/>
          <w:szCs w:val="21"/>
        </w:rPr>
      </w:pPr>
      <w:r>
        <w:rPr>
          <w:rFonts w:hint="eastAsia" w:ascii="宋体" w:hAnsi="宋体"/>
          <w:szCs w:val="21"/>
        </w:rPr>
        <w:t>42.</w:t>
      </w:r>
      <w:r>
        <w:rPr>
          <w:rFonts w:ascii="宋体" w:hAnsi="宋体"/>
          <w:szCs w:val="21"/>
        </w:rPr>
        <w:t>7.</w:t>
      </w:r>
      <w:r>
        <w:rPr>
          <w:rFonts w:hint="eastAsia" w:ascii="宋体" w:hAnsi="宋体"/>
          <w:szCs w:val="21"/>
        </w:rPr>
        <w:t>2  因乙方不能及时支付材料设备价款而影响工程进度，并为此要求甲方代为垫付材料设备款项的，若甲方同意代为垫付该材料设备款项的，则乙方同意按同期</w:t>
      </w:r>
      <w:r>
        <w:rPr>
          <w:rFonts w:ascii="宋体" w:hAnsi="宋体"/>
          <w:szCs w:val="21"/>
        </w:rPr>
        <w:t>1年期流动资金商业银行贷款利息的3倍向甲方支付违约金，甲方有权从任何一期工程价款中扣除代为垫付的材料设备款项及前述违约金。</w:t>
      </w:r>
    </w:p>
    <w:p>
      <w:pPr>
        <w:adjustRightInd w:val="0"/>
        <w:snapToGrid w:val="0"/>
        <w:ind w:left="840" w:hanging="840" w:hangingChars="400"/>
        <w:rPr>
          <w:rFonts w:ascii="宋体" w:hAnsi="宋体"/>
          <w:szCs w:val="21"/>
        </w:rPr>
      </w:pPr>
      <w:r>
        <w:rPr>
          <w:rFonts w:hint="eastAsia" w:ascii="宋体" w:hAnsi="宋体"/>
          <w:szCs w:val="21"/>
        </w:rPr>
        <w:t>42.7.3  若因乙方不能及时订货或未能及时支付材料设备价款导致所订货物未按施工进度计划时间提前15天到货并对工程进度造成影响的，甲方有权另行组织订货，其责任由乙方承担，甲方有权要求乙方按所订材料设备价款总额的</w:t>
      </w:r>
      <w:r>
        <w:rPr>
          <w:rFonts w:ascii="宋体" w:hAnsi="宋体"/>
          <w:szCs w:val="21"/>
        </w:rPr>
        <w:t>20%</w:t>
      </w:r>
      <w:r>
        <w:rPr>
          <w:rFonts w:hint="eastAsia" w:ascii="宋体" w:hAnsi="宋体"/>
          <w:szCs w:val="21"/>
        </w:rPr>
        <w:t>支付违约金，甲方有权从任何一期工程价款中扣除所订材料设备款项及前述违约金。</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44、检查和返工</w:t>
      </w:r>
    </w:p>
    <w:p>
      <w:pPr>
        <w:adjustRightInd w:val="0"/>
        <w:snapToGrid w:val="0"/>
        <w:ind w:left="840" w:hanging="840" w:hangingChars="400"/>
        <w:rPr>
          <w:rFonts w:ascii="宋体" w:hAnsi="宋体"/>
          <w:szCs w:val="21"/>
        </w:rPr>
      </w:pPr>
      <w:r>
        <w:rPr>
          <w:rFonts w:hint="eastAsia" w:ascii="宋体" w:hAnsi="宋体"/>
          <w:szCs w:val="21"/>
        </w:rPr>
        <w:t>44.1    施工质量检查：乙方应为检查、检验提供便利条件，及时根据要求向甲方及监理单位提供与工程质量有关的技术资料，并按检查结果进行整改。</w:t>
      </w:r>
    </w:p>
    <w:p>
      <w:pPr>
        <w:adjustRightInd w:val="0"/>
        <w:snapToGrid w:val="0"/>
        <w:ind w:left="840" w:hanging="840" w:hangingChars="400"/>
        <w:rPr>
          <w:rFonts w:ascii="宋体" w:hAnsi="宋体"/>
          <w:szCs w:val="21"/>
        </w:rPr>
      </w:pPr>
      <w:r>
        <w:rPr>
          <w:rFonts w:hint="eastAsia" w:ascii="宋体" w:hAnsi="宋体"/>
          <w:szCs w:val="21"/>
        </w:rPr>
        <w:t>44.2    质量不达标准的处理和责任：经检查工程质量达不到约定标准的部分，乙方应按甲方和监理单位的要求限期整改，直到符合约定标准为止，工期不予顺延。</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45</w:t>
      </w:r>
      <w:r>
        <w:rPr>
          <w:rFonts w:hint="eastAsia" w:ascii="宋体" w:hAnsi="宋体"/>
          <w:b/>
          <w:szCs w:val="21"/>
        </w:rPr>
        <w:t>、隐蔽工程和中间验收</w:t>
      </w:r>
    </w:p>
    <w:p>
      <w:pPr>
        <w:adjustRightInd w:val="0"/>
        <w:snapToGrid w:val="0"/>
        <w:ind w:left="840" w:hanging="840" w:hangingChars="400"/>
        <w:rPr>
          <w:rFonts w:ascii="宋体" w:hAnsi="宋体"/>
          <w:szCs w:val="21"/>
        </w:rPr>
      </w:pPr>
      <w:r>
        <w:rPr>
          <w:rFonts w:hint="eastAsia" w:ascii="宋体" w:hAnsi="宋体"/>
          <w:szCs w:val="21"/>
        </w:rPr>
        <w:t>45.1    工程隐蔽和中间验收的通知</w:t>
      </w:r>
    </w:p>
    <w:p>
      <w:pPr>
        <w:adjustRightInd w:val="0"/>
        <w:snapToGrid w:val="0"/>
        <w:ind w:left="840" w:hanging="840" w:hangingChars="400"/>
        <w:rPr>
          <w:rFonts w:ascii="宋体" w:hAnsi="宋体"/>
          <w:szCs w:val="21"/>
        </w:rPr>
      </w:pPr>
      <w:r>
        <w:rPr>
          <w:rFonts w:hint="eastAsia" w:ascii="宋体" w:hAnsi="宋体"/>
          <w:szCs w:val="21"/>
        </w:rPr>
        <w:t>45.1.1  隐蔽工程</w:t>
      </w:r>
    </w:p>
    <w:p>
      <w:pPr>
        <w:adjustRightInd w:val="0"/>
        <w:snapToGrid w:val="0"/>
        <w:ind w:left="840" w:hanging="840" w:hangingChars="400"/>
        <w:rPr>
          <w:rFonts w:ascii="宋体" w:hAnsi="宋体"/>
          <w:szCs w:val="21"/>
        </w:rPr>
      </w:pPr>
      <w:r>
        <w:rPr>
          <w:rFonts w:hint="eastAsia" w:ascii="宋体" w:hAnsi="宋体"/>
          <w:szCs w:val="21"/>
        </w:rPr>
        <w:t>45.1.1.1分部分项工程具备隐蔽条件或达到本合同约定的中间验收条件时，乙方应自检合格后，在隐蔽验收前48小时或中间验收前72小时以书面形式通知监理单位及甲方验收，并准备验收资料。</w:t>
      </w:r>
    </w:p>
    <w:p>
      <w:pPr>
        <w:adjustRightInd w:val="0"/>
        <w:snapToGrid w:val="0"/>
        <w:ind w:left="840" w:hanging="840" w:hangingChars="400"/>
        <w:rPr>
          <w:rFonts w:ascii="宋体" w:hAnsi="宋体"/>
          <w:szCs w:val="21"/>
        </w:rPr>
      </w:pPr>
      <w:r>
        <w:rPr>
          <w:rFonts w:hint="eastAsia" w:ascii="宋体" w:hAnsi="宋体"/>
          <w:szCs w:val="21"/>
        </w:rPr>
        <w:t>45.1.1.2乙方应通知质量监督及设计单位共同参加规范要求的重要工程隐蔽验收。如涉及合同价格调整的，乙方必须通知甲方到场验收，否则此部分价格不予计取。若乙方通知甲方隐蔽工程验收，甲方必须在接到验收通知48小时内到场验收。</w:t>
      </w:r>
    </w:p>
    <w:p>
      <w:pPr>
        <w:adjustRightInd w:val="0"/>
        <w:snapToGrid w:val="0"/>
        <w:ind w:left="840" w:hanging="840" w:hangingChars="400"/>
        <w:rPr>
          <w:rFonts w:ascii="宋体" w:hAnsi="宋体"/>
          <w:szCs w:val="21"/>
        </w:rPr>
      </w:pPr>
      <w:r>
        <w:rPr>
          <w:rFonts w:hint="eastAsia" w:ascii="宋体" w:hAnsi="宋体"/>
          <w:szCs w:val="21"/>
        </w:rPr>
        <w:t>45.1.1.3为维修方便，乙方应在工程隐蔽之前，向监理工程师提交每户的水电管路布置竣工图，详细标注各种管线的具体位置和详细尺寸，经监理工程师签认后方可进行下一道工序。</w:t>
      </w:r>
    </w:p>
    <w:p>
      <w:pPr>
        <w:adjustRightInd w:val="0"/>
        <w:snapToGrid w:val="0"/>
        <w:ind w:left="840" w:hanging="840" w:hangingChars="400"/>
        <w:rPr>
          <w:rFonts w:ascii="宋体" w:hAnsi="宋体"/>
          <w:szCs w:val="21"/>
        </w:rPr>
      </w:pPr>
      <w:r>
        <w:rPr>
          <w:rFonts w:hint="eastAsia" w:ascii="宋体" w:hAnsi="宋体"/>
          <w:szCs w:val="21"/>
        </w:rPr>
        <w:t>45.1.1.4关键工序在隐蔽前，乙方必须经监理单位验收合格后（乙方应在验收前向监理单位提交三检记录等资料）通知甲方。关键工序按现行的规范标准执行。</w:t>
      </w:r>
    </w:p>
    <w:p>
      <w:pPr>
        <w:adjustRightInd w:val="0"/>
        <w:snapToGrid w:val="0"/>
        <w:ind w:left="840" w:hanging="840" w:hangingChars="400"/>
        <w:rPr>
          <w:rFonts w:ascii="宋体" w:hAnsi="宋体"/>
          <w:szCs w:val="21"/>
        </w:rPr>
      </w:pPr>
      <w:r>
        <w:rPr>
          <w:rFonts w:hint="eastAsia" w:ascii="宋体" w:hAnsi="宋体"/>
          <w:szCs w:val="21"/>
        </w:rPr>
        <w:t>45.1.1.5甲方验收要求是指按国家各分部分项工程质量检查评定表检验，检验部位及点数以监理、甲方实际检验部位及点数为准计算合格率，允许偏差项目合格率达到90％以上，关键检验项目合格率达到100％。前述关键检验项目是指按国家各分项分部工程质量检验评定表中的主控项目。</w:t>
      </w:r>
    </w:p>
    <w:p>
      <w:pPr>
        <w:adjustRightInd w:val="0"/>
        <w:snapToGrid w:val="0"/>
        <w:ind w:left="840" w:hanging="840" w:hangingChars="400"/>
        <w:rPr>
          <w:rFonts w:ascii="宋体" w:hAnsi="宋体"/>
          <w:szCs w:val="21"/>
        </w:rPr>
      </w:pPr>
      <w:r>
        <w:rPr>
          <w:rFonts w:hint="eastAsia" w:ascii="宋体" w:hAnsi="宋体"/>
          <w:szCs w:val="21"/>
        </w:rPr>
        <w:t>45.1.2中间验收</w:t>
      </w:r>
    </w:p>
    <w:p>
      <w:pPr>
        <w:adjustRightInd w:val="0"/>
        <w:snapToGrid w:val="0"/>
        <w:ind w:left="840" w:hanging="840" w:hangingChars="400"/>
        <w:rPr>
          <w:rFonts w:ascii="宋体" w:hAnsi="宋体"/>
          <w:szCs w:val="21"/>
        </w:rPr>
      </w:pPr>
      <w:r>
        <w:rPr>
          <w:rFonts w:hint="eastAsia" w:ascii="宋体" w:hAnsi="宋体"/>
          <w:szCs w:val="21"/>
        </w:rPr>
        <w:t>45.1.2.1分部分项工程施工必须符合国家分项分部工程质量检验评定表的检验要求及甲方验收要求，每分项分部工程检验流程为：乙方自检→监理全面检查→乙方整改→监理验收。</w:t>
      </w:r>
    </w:p>
    <w:p>
      <w:pPr>
        <w:adjustRightInd w:val="0"/>
        <w:snapToGrid w:val="0"/>
        <w:ind w:left="840" w:hanging="840" w:hangingChars="400"/>
        <w:rPr>
          <w:rFonts w:ascii="宋体" w:hAnsi="宋体"/>
          <w:szCs w:val="21"/>
        </w:rPr>
      </w:pPr>
      <w:r>
        <w:rPr>
          <w:rFonts w:hint="eastAsia" w:ascii="宋体" w:hAnsi="宋体"/>
          <w:szCs w:val="21"/>
        </w:rPr>
        <w:t>45.1.2.2乙方分部分项工程工期是指从乙方计划施工开始到监理验收为止。</w:t>
      </w:r>
    </w:p>
    <w:p>
      <w:pPr>
        <w:adjustRightInd w:val="0"/>
        <w:snapToGrid w:val="0"/>
        <w:ind w:left="840" w:hanging="840" w:hangingChars="400"/>
        <w:rPr>
          <w:rFonts w:ascii="宋体" w:hAnsi="宋体"/>
          <w:szCs w:val="21"/>
        </w:rPr>
      </w:pPr>
      <w:r>
        <w:rPr>
          <w:rFonts w:hint="eastAsia" w:ascii="宋体" w:hAnsi="宋体"/>
          <w:szCs w:val="21"/>
        </w:rPr>
        <w:t>45.1.2</w:t>
      </w:r>
      <w:r>
        <w:rPr>
          <w:rFonts w:ascii="宋体" w:hAnsi="宋体"/>
          <w:szCs w:val="21"/>
        </w:rPr>
        <w:t>.3</w:t>
      </w:r>
      <w:r>
        <w:rPr>
          <w:rFonts w:hint="eastAsia" w:ascii="宋体" w:hAnsi="宋体"/>
          <w:szCs w:val="21"/>
        </w:rPr>
        <w:t>为保证施工质量，施工难点以及容易发生质量通病的地方，乙方应先报施工方案经甲方确认。</w:t>
      </w:r>
    </w:p>
    <w:p>
      <w:pPr>
        <w:adjustRightInd w:val="0"/>
        <w:snapToGrid w:val="0"/>
        <w:ind w:left="840" w:hanging="840" w:hangingChars="400"/>
        <w:rPr>
          <w:rFonts w:ascii="宋体" w:hAnsi="宋体"/>
          <w:szCs w:val="21"/>
        </w:rPr>
      </w:pPr>
      <w:r>
        <w:rPr>
          <w:rFonts w:ascii="宋体" w:hAnsi="宋体"/>
          <w:szCs w:val="21"/>
        </w:rPr>
        <w:t>45.1.2.4</w:t>
      </w:r>
      <w:r>
        <w:rPr>
          <w:rFonts w:hint="eastAsia" w:ascii="宋体" w:hAnsi="宋体"/>
          <w:szCs w:val="21"/>
        </w:rPr>
        <w:t>以下部位应在工程大面积施工前根据实际操作工艺制作样板，包括室内抹灰、涂料、复杂部位门窗安装、室内外防水、外墙砖等等。样板经甲方验收合格后乙方方可按样板进行大面积施工。所有施工样板费用应由乙方承担，甲方不再另行支付费用。</w:t>
      </w:r>
    </w:p>
    <w:p>
      <w:pPr>
        <w:adjustRightInd w:val="0"/>
        <w:snapToGrid w:val="0"/>
        <w:ind w:left="840" w:hanging="840" w:hangingChars="400"/>
        <w:rPr>
          <w:rFonts w:ascii="宋体" w:hAnsi="宋体"/>
          <w:szCs w:val="21"/>
        </w:rPr>
      </w:pPr>
      <w:r>
        <w:rPr>
          <w:rFonts w:hint="eastAsia" w:ascii="宋体" w:hAnsi="宋体"/>
          <w:szCs w:val="21"/>
        </w:rPr>
        <w:t>45.3    验收结果的确认：乙方应在中间验收前完成自检并确保达到检验要求，如同一部位两次以上中间验收不合格，视为乙方严重违约。甲方及监理单位视情况要求停工整改，工期不予顺延。</w:t>
      </w:r>
    </w:p>
    <w:p>
      <w:pPr>
        <w:adjustRightInd w:val="0"/>
        <w:snapToGrid w:val="0"/>
        <w:ind w:left="840" w:hanging="840" w:hangingChars="400"/>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46、重新检验和额外检验</w:t>
      </w:r>
    </w:p>
    <w:p>
      <w:pPr>
        <w:adjustRightInd w:val="0"/>
        <w:snapToGrid w:val="0"/>
        <w:ind w:left="840" w:hanging="840" w:hangingChars="400"/>
        <w:rPr>
          <w:rFonts w:ascii="宋体" w:hAnsi="宋体"/>
          <w:szCs w:val="21"/>
        </w:rPr>
      </w:pPr>
      <w:r>
        <w:rPr>
          <w:rFonts w:hint="eastAsia" w:ascii="宋体" w:hAnsi="宋体"/>
          <w:szCs w:val="21"/>
        </w:rPr>
        <w:t>46.1重新检验：当甲方代表和监理单位提出对已隐蔽工程重新检验要求时，乙方应按要求进行剥露，并在检验后重新进行覆盖或修复。检验合格，甲方承担由此发生的费用，赔偿乙方损失并相应顺延工期。若检验不合格，乙方除应承担全部检验费用外，还应无条件按甲方、监理单位的要求予以整改，且工期不予顺延。</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47</w:t>
      </w:r>
      <w:r>
        <w:rPr>
          <w:rFonts w:hint="eastAsia" w:ascii="宋体" w:hAnsi="宋体"/>
          <w:b/>
          <w:szCs w:val="21"/>
        </w:rPr>
        <w:t>、工程试车</w:t>
      </w:r>
    </w:p>
    <w:p>
      <w:pPr>
        <w:adjustRightInd w:val="0"/>
        <w:snapToGrid w:val="0"/>
        <w:ind w:left="840" w:hanging="840" w:hangingChars="400"/>
        <w:jc w:val="left"/>
        <w:rPr>
          <w:rFonts w:ascii="宋体" w:hAnsi="宋体"/>
          <w:szCs w:val="21"/>
        </w:rPr>
      </w:pPr>
      <w:r>
        <w:rPr>
          <w:rFonts w:ascii="宋体" w:hAnsi="宋体"/>
          <w:szCs w:val="21"/>
        </w:rPr>
        <w:t>47.1</w:t>
      </w:r>
      <w:r>
        <w:rPr>
          <w:rFonts w:hint="eastAsia" w:ascii="宋体" w:hAnsi="宋体"/>
          <w:szCs w:val="21"/>
        </w:rPr>
        <w:t xml:space="preserve">    试车内容：双方约定需要设备调试的，设备调试内容应与乙方承包的安装范围相一致。此外，乙方应为各分包单位设备调试提供便利条件，并积极配合各分包单位进行设备调试。</w:t>
      </w:r>
    </w:p>
    <w:p>
      <w:pPr>
        <w:adjustRightInd w:val="0"/>
        <w:snapToGrid w:val="0"/>
        <w:ind w:left="840" w:hanging="840" w:hangingChars="400"/>
        <w:rPr>
          <w:rFonts w:ascii="宋体" w:hAnsi="宋体"/>
          <w:szCs w:val="21"/>
        </w:rPr>
      </w:pPr>
      <w:r>
        <w:rPr>
          <w:rFonts w:ascii="宋体" w:hAnsi="宋体"/>
          <w:szCs w:val="21"/>
        </w:rPr>
        <w:t>47.5试车</w:t>
      </w:r>
      <w:r>
        <w:rPr>
          <w:rFonts w:hint="eastAsia" w:ascii="宋体" w:hAnsi="宋体"/>
          <w:szCs w:val="21"/>
        </w:rPr>
        <w:t>费用和不达要求处理：乙方必须完成本工程满足验收、使用所必须的所有承包范围内的工程设备调试工作，由此发生的相关费用已含在本合同价款中，甲方不再补偿任何费用。由于乙方原因造成设备调试达不到验收要求，乙方按甲方及监理单位要求重新安装和设备调试，并承担重新安装和设备调试的费用。</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48</w:t>
      </w:r>
      <w:r>
        <w:rPr>
          <w:rFonts w:hint="eastAsia" w:ascii="宋体" w:hAnsi="宋体"/>
          <w:b/>
          <w:szCs w:val="21"/>
        </w:rPr>
        <w:t>、竣工资料</w:t>
      </w:r>
    </w:p>
    <w:p>
      <w:pPr>
        <w:adjustRightInd w:val="0"/>
        <w:snapToGrid w:val="0"/>
        <w:ind w:left="840" w:hanging="840" w:hangingChars="400"/>
        <w:jc w:val="left"/>
        <w:rPr>
          <w:rFonts w:ascii="宋体" w:hAnsi="宋体"/>
          <w:szCs w:val="21"/>
        </w:rPr>
      </w:pPr>
      <w:r>
        <w:rPr>
          <w:rFonts w:ascii="宋体" w:hAnsi="宋体"/>
          <w:szCs w:val="21"/>
        </w:rPr>
        <w:t>48.1</w:t>
      </w:r>
      <w:r>
        <w:rPr>
          <w:rFonts w:hint="eastAsia" w:ascii="宋体" w:hAnsi="宋体"/>
          <w:szCs w:val="21"/>
        </w:rPr>
        <w:t xml:space="preserve">    提交竣工资料和报告</w:t>
      </w:r>
    </w:p>
    <w:p>
      <w:pPr>
        <w:adjustRightInd w:val="0"/>
        <w:snapToGrid w:val="0"/>
        <w:ind w:left="840" w:hanging="840" w:hangingChars="400"/>
        <w:jc w:val="left"/>
        <w:rPr>
          <w:rFonts w:ascii="宋体" w:hAnsi="宋体"/>
          <w:szCs w:val="21"/>
        </w:rPr>
      </w:pPr>
      <w:r>
        <w:rPr>
          <w:rFonts w:hint="eastAsia" w:ascii="宋体" w:hAnsi="宋体"/>
          <w:szCs w:val="21"/>
        </w:rPr>
        <w:t>48.1.1  竣工图纸由乙方进行编制，且竣工图纸的编制</w:t>
      </w:r>
      <w:r>
        <w:rPr>
          <w:rFonts w:ascii="宋体" w:hAnsi="宋体"/>
          <w:szCs w:val="21"/>
        </w:rPr>
        <w:t>必须真实、准确地反映项目竣工时实际情况，</w:t>
      </w:r>
      <w:r>
        <w:rPr>
          <w:rFonts w:hint="eastAsia" w:ascii="宋体" w:hAnsi="宋体"/>
          <w:szCs w:val="21"/>
        </w:rPr>
        <w:t>并</w:t>
      </w:r>
      <w:r>
        <w:rPr>
          <w:rFonts w:ascii="宋体" w:hAnsi="宋体"/>
          <w:szCs w:val="21"/>
        </w:rPr>
        <w:t>做到图物相符、技术数据可靠、签字手续完备</w:t>
      </w:r>
      <w:r>
        <w:rPr>
          <w:rFonts w:hint="eastAsia" w:ascii="宋体" w:hAnsi="宋体"/>
          <w:szCs w:val="21"/>
        </w:rPr>
        <w:t>(需经甲方、监理单位审核通过)，并</w:t>
      </w:r>
      <w:r>
        <w:rPr>
          <w:rFonts w:ascii="宋体" w:hAnsi="宋体"/>
          <w:szCs w:val="21"/>
        </w:rPr>
        <w:t>符合档案</w:t>
      </w:r>
      <w:r>
        <w:rPr>
          <w:rFonts w:hint="eastAsia" w:ascii="宋体" w:hAnsi="宋体"/>
          <w:szCs w:val="21"/>
        </w:rPr>
        <w:t>馆</w:t>
      </w:r>
      <w:r>
        <w:rPr>
          <w:rFonts w:ascii="宋体" w:hAnsi="宋体"/>
          <w:szCs w:val="21"/>
        </w:rPr>
        <w:t>管理的要求</w:t>
      </w:r>
      <w:r>
        <w:rPr>
          <w:rFonts w:hint="eastAsia" w:ascii="宋体" w:hAnsi="宋体"/>
          <w:szCs w:val="21"/>
        </w:rPr>
        <w:t>。</w:t>
      </w:r>
    </w:p>
    <w:p>
      <w:pPr>
        <w:adjustRightInd w:val="0"/>
        <w:snapToGrid w:val="0"/>
        <w:ind w:left="840" w:hanging="840" w:hangingChars="400"/>
        <w:jc w:val="left"/>
        <w:rPr>
          <w:rFonts w:ascii="宋体" w:hAnsi="宋体"/>
          <w:szCs w:val="21"/>
        </w:rPr>
      </w:pPr>
      <w:r>
        <w:rPr>
          <w:rFonts w:hint="eastAsia" w:ascii="宋体" w:hAnsi="宋体"/>
          <w:szCs w:val="21"/>
        </w:rPr>
        <w:t xml:space="preserve">48.1.2  乙方还应负责收集、审核、汇总、整理本工程的所有甲方分包及甲供材料的竣工资料，并负责办理本工程竣工验收资料的审查、报送以及完成档案馆竣工图纸及资料的归档工作。 </w:t>
      </w:r>
    </w:p>
    <w:p>
      <w:pPr>
        <w:adjustRightInd w:val="0"/>
        <w:snapToGrid w:val="0"/>
        <w:ind w:left="840" w:hanging="840" w:hangingChars="400"/>
        <w:jc w:val="left"/>
        <w:rPr>
          <w:rFonts w:ascii="宋体" w:hAnsi="宋体"/>
          <w:szCs w:val="21"/>
        </w:rPr>
      </w:pPr>
      <w:r>
        <w:rPr>
          <w:rFonts w:hint="eastAsia" w:ascii="宋体" w:hAnsi="宋体"/>
          <w:szCs w:val="21"/>
        </w:rPr>
        <w:t>48.1.3  乙方提交的竣工图纸和资料不符合上述各项要求的，视为竣工图纸和资料整理工作不合格，届时乙方应在甲方规定的时间进行返工并直至合格为止。若乙方累计返工达3次以上的，乙方应按人民币2000元/次向甲方支付违约金。</w:t>
      </w:r>
    </w:p>
    <w:p>
      <w:pPr>
        <w:adjustRightInd w:val="0"/>
        <w:snapToGrid w:val="0"/>
        <w:ind w:left="840" w:hanging="840" w:hangingChars="400"/>
        <w:jc w:val="left"/>
        <w:rPr>
          <w:rFonts w:ascii="宋体" w:hAnsi="宋体"/>
          <w:szCs w:val="21"/>
        </w:rPr>
      </w:pPr>
      <w:r>
        <w:rPr>
          <w:rFonts w:hint="eastAsia" w:ascii="宋体" w:hAnsi="宋体"/>
          <w:szCs w:val="21"/>
        </w:rPr>
        <w:t>48.1.4  乙方应在竣工验收合格三个月内将符合上述各项要求的竣工图纸及资料提交</w:t>
      </w:r>
      <w:r>
        <w:rPr>
          <w:rFonts w:ascii="宋体" w:hAnsi="宋体"/>
          <w:szCs w:val="21"/>
        </w:rPr>
        <w:t>4份给甲方(2份原件、2份复印件)，否则视为乙方严重违约</w:t>
      </w:r>
      <w:r>
        <w:rPr>
          <w:rFonts w:hint="eastAsia" w:ascii="宋体" w:hAnsi="宋体"/>
          <w:szCs w:val="21"/>
        </w:rPr>
        <w:t>，如果乙方提供的资料</w:t>
      </w:r>
      <w:r>
        <w:rPr>
          <w:rFonts w:hint="eastAsia"/>
          <w:szCs w:val="21"/>
        </w:rPr>
        <w:t>不足如图纸不够，则甲方可以代加晒图纸，但其费用需由施工单位支付</w:t>
      </w:r>
      <w:r>
        <w:rPr>
          <w:rFonts w:ascii="宋体" w:hAnsi="宋体"/>
          <w:szCs w:val="21"/>
        </w:rPr>
        <w:t>。</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49</w:t>
      </w:r>
      <w:r>
        <w:rPr>
          <w:rFonts w:hint="eastAsia" w:ascii="宋体" w:hAnsi="宋体"/>
          <w:b/>
          <w:szCs w:val="21"/>
        </w:rPr>
        <w:t>、竣工验收</w:t>
      </w:r>
    </w:p>
    <w:p>
      <w:pPr>
        <w:adjustRightInd w:val="0"/>
        <w:snapToGrid w:val="0"/>
        <w:ind w:left="840" w:hanging="840" w:hangingChars="400"/>
        <w:jc w:val="left"/>
        <w:rPr>
          <w:rFonts w:ascii="宋体" w:hAnsi="宋体"/>
          <w:szCs w:val="21"/>
        </w:rPr>
      </w:pPr>
      <w:r>
        <w:rPr>
          <w:rFonts w:ascii="宋体" w:hAnsi="宋体"/>
          <w:szCs w:val="21"/>
        </w:rPr>
        <w:t>49.1</w:t>
      </w:r>
      <w:r>
        <w:rPr>
          <w:rFonts w:hint="eastAsia" w:ascii="宋体" w:hAnsi="宋体"/>
          <w:szCs w:val="21"/>
        </w:rPr>
        <w:t xml:space="preserve">    组织验收和确认</w:t>
      </w:r>
    </w:p>
    <w:p>
      <w:pPr>
        <w:adjustRightInd w:val="0"/>
        <w:snapToGrid w:val="0"/>
        <w:ind w:left="840" w:hanging="840" w:hangingChars="400"/>
        <w:jc w:val="left"/>
        <w:rPr>
          <w:rFonts w:ascii="宋体" w:hAnsi="宋体"/>
          <w:szCs w:val="21"/>
        </w:rPr>
      </w:pPr>
      <w:r>
        <w:rPr>
          <w:rFonts w:ascii="宋体" w:hAnsi="宋体"/>
          <w:szCs w:val="21"/>
        </w:rPr>
        <w:t>49.1.1</w:t>
      </w:r>
      <w:r>
        <w:rPr>
          <w:rFonts w:hint="eastAsia" w:ascii="宋体" w:hAnsi="宋体"/>
          <w:szCs w:val="21"/>
        </w:rPr>
        <w:t xml:space="preserve">  工程具备竣工验收条件，乙方应提前</w:t>
      </w:r>
      <w:r>
        <w:rPr>
          <w:rFonts w:ascii="宋体" w:hAnsi="宋体"/>
          <w:szCs w:val="21"/>
        </w:rPr>
        <w:t>15天</w:t>
      </w:r>
      <w:r>
        <w:rPr>
          <w:rFonts w:hint="eastAsia" w:ascii="宋体" w:hAnsi="宋体"/>
          <w:szCs w:val="21"/>
        </w:rPr>
        <w:t>按国家工程竣工验收有关规定向监理单位提供完整竣工资料、竣工验收报告及工程质量保修书。监理单位认为符合验收条件的，乙方应在</w:t>
      </w:r>
      <w:r>
        <w:rPr>
          <w:rFonts w:hint="eastAsia" w:ascii="宋体" w:hAnsi="宋体"/>
          <w:szCs w:val="21"/>
          <w:u w:val="single"/>
        </w:rPr>
        <w:t>20</w:t>
      </w:r>
      <w:r>
        <w:rPr>
          <w:rFonts w:hint="eastAsia" w:ascii="宋体" w:hAnsi="宋体"/>
          <w:szCs w:val="21"/>
        </w:rPr>
        <w:t>天内组织甲方及相关单位初步验收，对每栋、每单元、每套房间进行验收，不合格处应在5天内整改并达到合格标准。</w:t>
      </w:r>
    </w:p>
    <w:p>
      <w:pPr>
        <w:adjustRightInd w:val="0"/>
        <w:snapToGrid w:val="0"/>
        <w:ind w:left="840" w:hanging="840" w:hangingChars="400"/>
        <w:rPr>
          <w:rFonts w:ascii="宋体" w:hAnsi="宋体"/>
          <w:szCs w:val="21"/>
        </w:rPr>
      </w:pPr>
      <w:r>
        <w:rPr>
          <w:rFonts w:ascii="宋体" w:hAnsi="宋体"/>
          <w:szCs w:val="21"/>
        </w:rPr>
        <w:t>49.1.2上述初步验收合格的，</w:t>
      </w:r>
      <w:r>
        <w:rPr>
          <w:rFonts w:hint="eastAsia" w:ascii="宋体" w:hAnsi="宋体"/>
          <w:szCs w:val="21"/>
        </w:rPr>
        <w:t>乙方应在</w:t>
      </w:r>
      <w:r>
        <w:rPr>
          <w:rFonts w:hint="eastAsia" w:ascii="宋体" w:hAnsi="宋体"/>
          <w:szCs w:val="21"/>
          <w:u w:val="single"/>
        </w:rPr>
        <w:t>20</w:t>
      </w:r>
      <w:r>
        <w:rPr>
          <w:rFonts w:ascii="宋体" w:hAnsi="宋体"/>
          <w:szCs w:val="21"/>
        </w:rPr>
        <w:t>天内</w:t>
      </w:r>
      <w:r>
        <w:rPr>
          <w:rFonts w:hint="eastAsia" w:ascii="宋体" w:hAnsi="宋体"/>
          <w:szCs w:val="21"/>
        </w:rPr>
        <w:t>联合设计单位、监理单位、政府有关部门等单位或部门实施工程竣工验收工作，并负责最终取得《房屋建筑工程和市政基础设施工程竣工验收备案表》。乙方办理前述工程竣工验收备案工作所发生的全部费用已包含在本合同价款中，甲方无需另行方支付任何款项。</w:t>
      </w:r>
    </w:p>
    <w:p>
      <w:pPr>
        <w:adjustRightInd w:val="0"/>
        <w:snapToGrid w:val="0"/>
        <w:ind w:left="840" w:hanging="840" w:hangingChars="400"/>
        <w:rPr>
          <w:rFonts w:ascii="宋体" w:hAnsi="宋体"/>
          <w:szCs w:val="21"/>
        </w:rPr>
      </w:pPr>
      <w:r>
        <w:rPr>
          <w:rFonts w:ascii="宋体" w:hAnsi="宋体"/>
          <w:szCs w:val="21"/>
        </w:rPr>
        <w:t>49.4颁发竣工验收证书：</w:t>
      </w:r>
      <w:r>
        <w:rPr>
          <w:rFonts w:hint="eastAsia" w:ascii="宋体" w:hAnsi="宋体"/>
          <w:szCs w:val="21"/>
        </w:rPr>
        <w:t>本合同工程取得《房屋建筑工程和市政基础设施工程竣工验收备案表》之日，视为工程竣工验收合格之日。</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50</w:t>
      </w:r>
      <w:r>
        <w:rPr>
          <w:rFonts w:hint="eastAsia" w:ascii="宋体" w:hAnsi="宋体"/>
          <w:b/>
          <w:szCs w:val="21"/>
        </w:rPr>
        <w:t>、质量保修</w:t>
      </w:r>
    </w:p>
    <w:p>
      <w:pPr>
        <w:adjustRightInd w:val="0"/>
        <w:snapToGrid w:val="0"/>
        <w:ind w:left="840" w:hanging="840" w:hangingChars="400"/>
        <w:rPr>
          <w:rFonts w:ascii="宋体" w:hAnsi="宋体"/>
          <w:szCs w:val="21"/>
        </w:rPr>
      </w:pPr>
      <w:r>
        <w:rPr>
          <w:rFonts w:ascii="宋体" w:hAnsi="宋体"/>
          <w:szCs w:val="21"/>
        </w:rPr>
        <w:t>50.1签订</w:t>
      </w:r>
      <w:r>
        <w:rPr>
          <w:rFonts w:hint="eastAsia" w:ascii="宋体" w:hAnsi="宋体"/>
          <w:szCs w:val="21"/>
        </w:rPr>
        <w:t>工程质量保修书：按《房屋建筑工程质量保修办法》（建设部</w:t>
      </w:r>
      <w:r>
        <w:rPr>
          <w:rFonts w:ascii="宋体" w:hAnsi="宋体"/>
          <w:szCs w:val="21"/>
        </w:rPr>
        <w:t>2000年第80号令）</w:t>
      </w:r>
      <w:r>
        <w:rPr>
          <w:rFonts w:hint="eastAsia" w:ascii="宋体" w:hAnsi="宋体"/>
          <w:szCs w:val="21"/>
        </w:rPr>
        <w:t>及</w:t>
      </w:r>
      <w:r>
        <w:rPr>
          <w:rFonts w:hint="eastAsia" w:ascii="宋体" w:hAnsi="宋体"/>
          <w:szCs w:val="21"/>
          <w:u w:val="single"/>
        </w:rPr>
        <w:t>附件七《工程质量保修书》</w:t>
      </w:r>
      <w:r>
        <w:rPr>
          <w:rFonts w:hint="eastAsia" w:ascii="宋体" w:hAnsi="宋体"/>
          <w:szCs w:val="21"/>
        </w:rPr>
        <w:t>约定执行。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54</w:t>
      </w:r>
      <w:r>
        <w:rPr>
          <w:rFonts w:hint="eastAsia" w:ascii="宋体" w:hAnsi="宋体"/>
          <w:b/>
          <w:szCs w:val="21"/>
        </w:rPr>
        <w:t>、预留金</w:t>
      </w:r>
    </w:p>
    <w:p>
      <w:pPr>
        <w:adjustRightInd w:val="0"/>
        <w:snapToGrid w:val="0"/>
        <w:ind w:left="840" w:hanging="840" w:hangingChars="400"/>
        <w:rPr>
          <w:rFonts w:ascii="宋体" w:hAnsi="宋体"/>
          <w:szCs w:val="21"/>
        </w:rPr>
      </w:pPr>
      <w:r>
        <w:rPr>
          <w:rFonts w:ascii="宋体" w:hAnsi="宋体"/>
          <w:szCs w:val="21"/>
        </w:rPr>
        <w:t>54.1</w:t>
      </w:r>
      <w:r>
        <w:rPr>
          <w:rFonts w:hint="eastAsia" w:ascii="宋体" w:hAnsi="宋体"/>
          <w:szCs w:val="21"/>
        </w:rPr>
        <w:t xml:space="preserve">    预留金的用途：本合同通用条款第</w:t>
      </w:r>
      <w:r>
        <w:rPr>
          <w:rFonts w:ascii="宋体" w:hAnsi="宋体"/>
          <w:szCs w:val="21"/>
        </w:rPr>
        <w:t>54.1款、第54.2款以及第54.3款</w:t>
      </w:r>
      <w:r>
        <w:rPr>
          <w:rFonts w:hint="eastAsia" w:ascii="宋体" w:hAnsi="宋体"/>
          <w:szCs w:val="21"/>
        </w:rPr>
        <w:t>不予适用，本合同不设预留金。</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56</w:t>
      </w:r>
      <w:r>
        <w:rPr>
          <w:rFonts w:hint="eastAsia" w:ascii="宋体" w:hAnsi="宋体"/>
          <w:b/>
          <w:szCs w:val="21"/>
        </w:rPr>
        <w:t>、提前竣工奖与误期赔偿费</w:t>
      </w:r>
    </w:p>
    <w:p>
      <w:pPr>
        <w:adjustRightInd w:val="0"/>
        <w:snapToGrid w:val="0"/>
        <w:ind w:left="840" w:hanging="840" w:hangingChars="400"/>
        <w:jc w:val="left"/>
        <w:rPr>
          <w:rFonts w:ascii="宋体" w:hAnsi="宋体"/>
          <w:szCs w:val="21"/>
        </w:rPr>
      </w:pPr>
      <w:r>
        <w:rPr>
          <w:rFonts w:ascii="宋体" w:hAnsi="宋体"/>
          <w:szCs w:val="21"/>
        </w:rPr>
        <w:t>56.1</w:t>
      </w:r>
      <w:r>
        <w:rPr>
          <w:rFonts w:hint="eastAsia" w:ascii="宋体" w:hAnsi="宋体"/>
          <w:szCs w:val="21"/>
        </w:rPr>
        <w:t xml:space="preserve">    提前竣工奖：本合同通用条款第</w:t>
      </w:r>
      <w:r>
        <w:rPr>
          <w:rFonts w:ascii="宋体" w:hAnsi="宋体"/>
          <w:szCs w:val="21"/>
        </w:rPr>
        <w:t>56.1</w:t>
      </w:r>
      <w:r>
        <w:rPr>
          <w:rFonts w:hint="eastAsia" w:ascii="宋体" w:hAnsi="宋体"/>
          <w:szCs w:val="21"/>
        </w:rPr>
        <w:t>条不予适用。</w:t>
      </w:r>
    </w:p>
    <w:p>
      <w:pPr>
        <w:adjustRightInd w:val="0"/>
        <w:snapToGrid w:val="0"/>
        <w:ind w:left="840" w:hanging="840" w:hangingChars="400"/>
        <w:jc w:val="left"/>
        <w:rPr>
          <w:rFonts w:ascii="宋体" w:hAnsi="宋体"/>
          <w:szCs w:val="21"/>
        </w:rPr>
      </w:pPr>
      <w:r>
        <w:rPr>
          <w:rFonts w:ascii="宋体" w:hAnsi="宋体"/>
          <w:szCs w:val="21"/>
        </w:rPr>
        <w:t>56.2</w:t>
      </w:r>
      <w:r>
        <w:rPr>
          <w:rFonts w:hint="eastAsia" w:ascii="宋体" w:hAnsi="宋体"/>
          <w:szCs w:val="21"/>
        </w:rPr>
        <w:t xml:space="preserve">    误期赔偿费</w:t>
      </w:r>
    </w:p>
    <w:p>
      <w:pPr>
        <w:adjustRightInd w:val="0"/>
        <w:snapToGrid w:val="0"/>
        <w:ind w:left="840" w:hanging="840" w:hangingChars="400"/>
        <w:jc w:val="left"/>
        <w:rPr>
          <w:rFonts w:ascii="宋体" w:hAnsi="宋体"/>
          <w:szCs w:val="21"/>
        </w:rPr>
      </w:pPr>
      <w:r>
        <w:rPr>
          <w:rFonts w:ascii="宋体" w:hAnsi="宋体"/>
          <w:szCs w:val="21"/>
        </w:rPr>
        <w:t>56.2.1主要施工节点工期延误规定</w:t>
      </w:r>
    </w:p>
    <w:p>
      <w:pPr>
        <w:adjustRightInd w:val="0"/>
        <w:snapToGrid w:val="0"/>
        <w:ind w:left="840" w:hanging="840" w:hangingChars="400"/>
        <w:jc w:val="left"/>
        <w:rPr>
          <w:rFonts w:ascii="宋体" w:hAnsi="宋体"/>
          <w:szCs w:val="21"/>
        </w:rPr>
      </w:pPr>
      <w:r>
        <w:rPr>
          <w:rFonts w:ascii="宋体" w:hAnsi="宋体"/>
          <w:szCs w:val="21"/>
        </w:rPr>
        <w:t>56.2.1.1</w:t>
      </w:r>
      <w:r>
        <w:rPr>
          <w:rFonts w:hint="eastAsia" w:ascii="宋体" w:hAnsi="宋体"/>
          <w:szCs w:val="21"/>
        </w:rPr>
        <w:t>乙方逾期开工的，则乙方应按每天人民币</w:t>
      </w:r>
      <w:r>
        <w:rPr>
          <w:rFonts w:ascii="宋体" w:hAnsi="宋体"/>
          <w:szCs w:val="21"/>
        </w:rPr>
        <w:t>3万元向甲方支付违约金。</w:t>
      </w:r>
    </w:p>
    <w:p>
      <w:pPr>
        <w:adjustRightInd w:val="0"/>
        <w:snapToGrid w:val="0"/>
        <w:ind w:left="840" w:hanging="840" w:hangingChars="400"/>
        <w:jc w:val="left"/>
        <w:rPr>
          <w:rFonts w:ascii="宋体" w:hAnsi="宋体"/>
          <w:szCs w:val="21"/>
        </w:rPr>
      </w:pPr>
      <w:r>
        <w:rPr>
          <w:rFonts w:ascii="宋体" w:hAnsi="宋体"/>
          <w:szCs w:val="21"/>
        </w:rPr>
        <w:t>56.2.1.2</w:t>
      </w:r>
      <w:r>
        <w:rPr>
          <w:rFonts w:hint="eastAsia" w:ascii="宋体" w:hAnsi="宋体"/>
          <w:szCs w:val="21"/>
        </w:rPr>
        <w:t>本合同协议书第四条第</w:t>
      </w:r>
      <w:r>
        <w:rPr>
          <w:rFonts w:ascii="宋体" w:hAnsi="宋体"/>
          <w:szCs w:val="21"/>
        </w:rPr>
        <w:t>3</w:t>
      </w:r>
      <w:r>
        <w:rPr>
          <w:rFonts w:hint="eastAsia" w:ascii="宋体" w:hAnsi="宋体"/>
          <w:szCs w:val="21"/>
        </w:rPr>
        <w:t>款约定的中间节点（系指：除竣工验收节点以外的其他主要施工节点）出现工期延误的，每延误一天，则乙方应向甲方支付本合同价款总额（暂定）万分之一的违约金。</w:t>
      </w:r>
    </w:p>
    <w:p>
      <w:pPr>
        <w:adjustRightInd w:val="0"/>
        <w:snapToGrid w:val="0"/>
        <w:ind w:left="840" w:hanging="840" w:hangingChars="400"/>
        <w:jc w:val="left"/>
        <w:rPr>
          <w:rFonts w:ascii="宋体" w:hAnsi="宋体"/>
          <w:szCs w:val="21"/>
        </w:rPr>
      </w:pPr>
      <w:r>
        <w:rPr>
          <w:rFonts w:ascii="宋体" w:hAnsi="宋体"/>
          <w:szCs w:val="21"/>
        </w:rPr>
        <w:t>56.2.1.3</w:t>
      </w:r>
      <w:r>
        <w:rPr>
          <w:rFonts w:hint="eastAsia" w:ascii="宋体" w:hAnsi="宋体"/>
          <w:szCs w:val="21"/>
        </w:rPr>
        <w:t>本合同协议书第四条第</w:t>
      </w:r>
      <w:r>
        <w:rPr>
          <w:rFonts w:ascii="宋体" w:hAnsi="宋体"/>
          <w:szCs w:val="21"/>
        </w:rPr>
        <w:t>3款约定的</w:t>
      </w:r>
      <w:r>
        <w:rPr>
          <w:rFonts w:hint="eastAsia" w:ascii="宋体" w:hAnsi="宋体"/>
          <w:szCs w:val="21"/>
        </w:rPr>
        <w:t>竣工验收节点出现工期延误的，每延误一天，则乙方应向甲方支付本合同价款总额（暂定）千分之一的违约金。</w:t>
      </w:r>
    </w:p>
    <w:p>
      <w:pPr>
        <w:adjustRightInd w:val="0"/>
        <w:snapToGrid w:val="0"/>
        <w:ind w:left="840" w:hanging="840" w:hangingChars="400"/>
        <w:jc w:val="left"/>
        <w:rPr>
          <w:rFonts w:ascii="宋体" w:hAnsi="宋体"/>
          <w:szCs w:val="21"/>
        </w:rPr>
      </w:pPr>
      <w:r>
        <w:rPr>
          <w:rFonts w:ascii="宋体" w:hAnsi="宋体"/>
          <w:szCs w:val="21"/>
        </w:rPr>
        <w:t>56.2.1.4</w:t>
      </w:r>
      <w:r>
        <w:rPr>
          <w:rFonts w:hint="eastAsia" w:ascii="宋体" w:hAnsi="宋体"/>
          <w:szCs w:val="21"/>
        </w:rPr>
        <w:t>若中间节点出现工期延误但竣工验收节点能按时完成的，则甲方同意乙方免于按上述第</w:t>
      </w:r>
      <w:r>
        <w:rPr>
          <w:rFonts w:ascii="宋体" w:hAnsi="宋体"/>
          <w:szCs w:val="21"/>
        </w:rPr>
        <w:t>56.2.1.2</w:t>
      </w:r>
      <w:r>
        <w:rPr>
          <w:rFonts w:hint="eastAsia" w:ascii="宋体" w:hAnsi="宋体"/>
          <w:szCs w:val="21"/>
        </w:rPr>
        <w:t>款、第</w:t>
      </w:r>
      <w:r>
        <w:rPr>
          <w:rFonts w:ascii="宋体" w:hAnsi="宋体"/>
          <w:szCs w:val="21"/>
        </w:rPr>
        <w:t>56.2.1.3款承担</w:t>
      </w:r>
      <w:r>
        <w:rPr>
          <w:rFonts w:hint="eastAsia" w:ascii="宋体" w:hAnsi="宋体"/>
          <w:szCs w:val="21"/>
        </w:rPr>
        <w:t>违约金。</w:t>
      </w:r>
    </w:p>
    <w:p>
      <w:pPr>
        <w:adjustRightInd w:val="0"/>
        <w:snapToGrid w:val="0"/>
        <w:ind w:left="840" w:hanging="840" w:hangingChars="400"/>
        <w:jc w:val="left"/>
        <w:rPr>
          <w:rFonts w:ascii="宋体" w:hAnsi="宋体"/>
          <w:szCs w:val="21"/>
        </w:rPr>
      </w:pPr>
      <w:r>
        <w:rPr>
          <w:rFonts w:ascii="宋体" w:hAnsi="宋体"/>
          <w:szCs w:val="21"/>
        </w:rPr>
        <w:t>56.2.1.5</w:t>
      </w:r>
      <w:r>
        <w:rPr>
          <w:rFonts w:hint="eastAsia" w:ascii="宋体" w:hAnsi="宋体"/>
          <w:szCs w:val="21"/>
        </w:rPr>
        <w:t>上述工期延误的违约金最高金额不超过本合同价款总额（暂定）的</w:t>
      </w:r>
      <w:r>
        <w:rPr>
          <w:rFonts w:ascii="宋体" w:hAnsi="宋体"/>
          <w:szCs w:val="21"/>
        </w:rPr>
        <w:t>5%。</w:t>
      </w:r>
    </w:p>
    <w:p>
      <w:pPr>
        <w:adjustRightInd w:val="0"/>
        <w:snapToGrid w:val="0"/>
        <w:ind w:left="840" w:hanging="840" w:hangingChars="400"/>
        <w:rPr>
          <w:rFonts w:ascii="宋体" w:hAnsi="宋体"/>
          <w:szCs w:val="21"/>
        </w:rPr>
      </w:pPr>
      <w:r>
        <w:rPr>
          <w:rFonts w:ascii="宋体" w:hAnsi="宋体"/>
          <w:szCs w:val="21"/>
        </w:rPr>
        <w:t>56.2.2</w:t>
      </w:r>
      <w:r>
        <w:rPr>
          <w:rFonts w:hint="eastAsia" w:ascii="宋体" w:hAnsi="宋体"/>
          <w:szCs w:val="21"/>
        </w:rPr>
        <w:t xml:space="preserve">  若乙方出现工期延误情形且累计达到</w:t>
      </w:r>
      <w:r>
        <w:rPr>
          <w:rFonts w:ascii="宋体" w:hAnsi="宋体"/>
          <w:szCs w:val="21"/>
        </w:rPr>
        <w:t>30</w:t>
      </w:r>
      <w:r>
        <w:rPr>
          <w:rFonts w:hint="eastAsia" w:ascii="宋体" w:hAnsi="宋体"/>
          <w:szCs w:val="21"/>
        </w:rPr>
        <w:t>天（含本数）以上的，甲方有权自行根据情况严重的程度选择按如下约定处理：</w:t>
      </w:r>
    </w:p>
    <w:p>
      <w:pPr>
        <w:adjustRightInd w:val="0"/>
        <w:snapToGrid w:val="0"/>
        <w:ind w:left="840" w:hanging="840" w:hangingChars="400"/>
        <w:rPr>
          <w:rFonts w:ascii="宋体" w:hAnsi="宋体"/>
          <w:szCs w:val="21"/>
        </w:rPr>
      </w:pPr>
      <w:r>
        <w:rPr>
          <w:rFonts w:ascii="宋体" w:hAnsi="宋体"/>
          <w:szCs w:val="21"/>
        </w:rPr>
        <w:t>56.2.2.1</w:t>
      </w:r>
      <w:r>
        <w:rPr>
          <w:rFonts w:hint="eastAsia" w:ascii="宋体" w:hAnsi="宋体"/>
          <w:szCs w:val="21"/>
        </w:rPr>
        <w:t>影响较小的，则乙方应从第</w:t>
      </w:r>
      <w:r>
        <w:rPr>
          <w:rFonts w:ascii="宋体" w:hAnsi="宋体"/>
          <w:szCs w:val="21"/>
        </w:rPr>
        <w:t>31天开始，</w:t>
      </w:r>
      <w:r>
        <w:rPr>
          <w:rFonts w:hint="eastAsia" w:ascii="宋体" w:hAnsi="宋体"/>
          <w:szCs w:val="21"/>
        </w:rPr>
        <w:t>则乙方应每天向甲方支付本合同价款总额（暂定）万分之五的违约金。</w:t>
      </w:r>
    </w:p>
    <w:p>
      <w:pPr>
        <w:adjustRightInd w:val="0"/>
        <w:snapToGrid w:val="0"/>
        <w:ind w:left="840" w:hanging="840" w:hangingChars="400"/>
        <w:rPr>
          <w:rFonts w:ascii="宋体" w:hAnsi="宋体"/>
          <w:szCs w:val="21"/>
        </w:rPr>
      </w:pPr>
      <w:r>
        <w:rPr>
          <w:rFonts w:ascii="宋体" w:hAnsi="宋体"/>
          <w:szCs w:val="21"/>
        </w:rPr>
        <w:t>56.2.2.</w:t>
      </w:r>
      <w:r>
        <w:rPr>
          <w:rFonts w:hint="eastAsia" w:ascii="宋体" w:hAnsi="宋体"/>
          <w:szCs w:val="21"/>
        </w:rPr>
        <w:t>2影响严重的，则甲方有权解除本合同且无需再行支付任何费用，此外乙方还应按本合同价款总额（暂定）的</w:t>
      </w:r>
      <w:r>
        <w:rPr>
          <w:rFonts w:ascii="宋体" w:hAnsi="宋体"/>
          <w:szCs w:val="21"/>
        </w:rPr>
        <w:t>5%</w:t>
      </w:r>
      <w:r>
        <w:rPr>
          <w:rFonts w:hint="eastAsia" w:ascii="宋体" w:hAnsi="宋体"/>
          <w:szCs w:val="21"/>
        </w:rPr>
        <w:t>向甲方支付违约金并赔偿甲方由此遭受的所有损失（包括：因无法向购房者交房所需向购房者支付的违约金及赔偿金，下同）。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57、合同价款</w:t>
      </w:r>
      <w:r>
        <w:rPr>
          <w:rFonts w:hint="eastAsia" w:ascii="宋体" w:hAnsi="宋体"/>
          <w:b/>
          <w:szCs w:val="21"/>
        </w:rPr>
        <w:t>的约定与调整事宜</w:t>
      </w:r>
    </w:p>
    <w:p>
      <w:pPr>
        <w:adjustRightInd w:val="0"/>
        <w:snapToGrid w:val="0"/>
        <w:ind w:left="840" w:hanging="840" w:hangingChars="400"/>
        <w:jc w:val="left"/>
        <w:rPr>
          <w:rFonts w:ascii="宋体" w:hAnsi="宋体"/>
          <w:szCs w:val="21"/>
        </w:rPr>
      </w:pPr>
      <w:r>
        <w:rPr>
          <w:rFonts w:ascii="宋体" w:hAnsi="宋体"/>
          <w:szCs w:val="21"/>
        </w:rPr>
        <w:t>57.1</w:t>
      </w:r>
      <w:r>
        <w:rPr>
          <w:rFonts w:hint="eastAsia" w:ascii="宋体" w:hAnsi="宋体"/>
          <w:szCs w:val="21"/>
        </w:rPr>
        <w:t xml:space="preserve">    约定合同价款：按本合同协议书第六条约定执行。</w:t>
      </w:r>
    </w:p>
    <w:p>
      <w:pPr>
        <w:adjustRightInd w:val="0"/>
        <w:snapToGrid w:val="0"/>
        <w:ind w:left="840" w:hanging="840" w:hangingChars="400"/>
        <w:jc w:val="left"/>
        <w:rPr>
          <w:rFonts w:ascii="宋体" w:hAnsi="宋体"/>
          <w:szCs w:val="21"/>
        </w:rPr>
      </w:pPr>
      <w:r>
        <w:rPr>
          <w:rFonts w:ascii="宋体" w:hAnsi="宋体"/>
          <w:szCs w:val="21"/>
        </w:rPr>
        <w:t>57.2</w:t>
      </w:r>
      <w:r>
        <w:rPr>
          <w:rFonts w:hint="eastAsia" w:ascii="宋体" w:hAnsi="宋体"/>
          <w:szCs w:val="21"/>
        </w:rPr>
        <w:t xml:space="preserve">    合同价款调整事宜：按本合同协议书第六条执行。</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58</w:t>
      </w:r>
      <w:r>
        <w:rPr>
          <w:rFonts w:hint="eastAsia" w:ascii="宋体" w:hAnsi="宋体"/>
          <w:b/>
          <w:szCs w:val="21"/>
        </w:rPr>
        <w:t>、工程量的偏差</w:t>
      </w:r>
    </w:p>
    <w:p>
      <w:pPr>
        <w:adjustRightInd w:val="0"/>
        <w:snapToGrid w:val="0"/>
        <w:ind w:left="840" w:hanging="840" w:hangingChars="400"/>
        <w:jc w:val="left"/>
        <w:rPr>
          <w:rFonts w:ascii="宋体" w:hAnsi="宋体"/>
          <w:szCs w:val="21"/>
        </w:rPr>
      </w:pPr>
      <w:r>
        <w:rPr>
          <w:rFonts w:ascii="宋体" w:hAnsi="宋体"/>
          <w:szCs w:val="21"/>
        </w:rPr>
        <w:t>58.1</w:t>
      </w:r>
      <w:r>
        <w:rPr>
          <w:rFonts w:hint="eastAsia" w:ascii="宋体" w:hAnsi="宋体"/>
          <w:szCs w:val="21"/>
        </w:rPr>
        <w:t xml:space="preserve">    工程量偏差</w:t>
      </w:r>
    </w:p>
    <w:p>
      <w:pPr>
        <w:adjustRightInd w:val="0"/>
        <w:snapToGrid w:val="0"/>
        <w:ind w:left="840" w:hanging="840" w:hangingChars="400"/>
        <w:jc w:val="left"/>
        <w:rPr>
          <w:rFonts w:ascii="宋体" w:hAnsi="宋体"/>
          <w:szCs w:val="21"/>
        </w:rPr>
      </w:pPr>
      <w:r>
        <w:rPr>
          <w:rFonts w:hint="eastAsia" w:ascii="宋体" w:hAnsi="宋体"/>
          <w:szCs w:val="21"/>
        </w:rPr>
        <w:t>58.1.1  如设计变更、指令导致工程量变化，必须按规定流程进行现场见证、签认。对于事后补充的文件，结算时不予认可。施工图纸部分导致工程量变化的不做调整。。</w:t>
      </w:r>
    </w:p>
    <w:p>
      <w:pPr>
        <w:adjustRightInd w:val="0"/>
        <w:snapToGrid w:val="0"/>
        <w:ind w:left="840" w:hanging="840" w:hangingChars="400"/>
        <w:jc w:val="left"/>
        <w:rPr>
          <w:rFonts w:ascii="宋体" w:hAnsi="宋体"/>
          <w:szCs w:val="21"/>
        </w:rPr>
      </w:pPr>
      <w:r>
        <w:rPr>
          <w:rFonts w:hint="eastAsia" w:ascii="宋体" w:hAnsi="宋体"/>
          <w:szCs w:val="21"/>
        </w:rPr>
        <w:t xml:space="preserve">58.1.2  </w:t>
      </w:r>
      <w:r>
        <w:rPr>
          <w:rFonts w:hint="eastAsia" w:ascii="宋体" w:hAnsi="宋体"/>
          <w:snapToGrid w:val="0"/>
          <w:kern w:val="0"/>
          <w:szCs w:val="21"/>
        </w:rPr>
        <w:t>经甲方书面确认变更工程设计或工程量的，若累计变更工程设计或工程量的工程价款总额达到或超过</w:t>
      </w:r>
      <w:r>
        <w:rPr>
          <w:rFonts w:hint="eastAsia" w:ascii="宋体" w:hAnsi="宋体"/>
          <w:szCs w:val="21"/>
        </w:rPr>
        <w:t>本合同价款总额（暂定）</w:t>
      </w:r>
      <w:r>
        <w:rPr>
          <w:rFonts w:hint="eastAsia" w:ascii="宋体" w:hAnsi="宋体"/>
          <w:snapToGrid w:val="0"/>
          <w:kern w:val="0"/>
          <w:szCs w:val="21"/>
        </w:rPr>
        <w:t>的5</w:t>
      </w:r>
      <w:r>
        <w:rPr>
          <w:rFonts w:ascii="宋体" w:hAnsi="宋体"/>
          <w:snapToGrid w:val="0"/>
          <w:kern w:val="0"/>
          <w:szCs w:val="21"/>
        </w:rPr>
        <w:t>%</w:t>
      </w:r>
      <w:r>
        <w:rPr>
          <w:rFonts w:hint="eastAsia" w:ascii="宋体" w:hAnsi="宋体"/>
          <w:snapToGrid w:val="0"/>
          <w:kern w:val="0"/>
          <w:szCs w:val="21"/>
        </w:rPr>
        <w:t>，则甲乙双方应当在工程变更施工前签订书面补充协议，若因乙方原因未能签订补充协议，甲方有权对变更工程部分的工程价款不予认可。</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63、预付款</w:t>
      </w:r>
    </w:p>
    <w:p>
      <w:pPr>
        <w:adjustRightInd w:val="0"/>
        <w:snapToGrid w:val="0"/>
        <w:ind w:left="840" w:hanging="840" w:hangingChars="400"/>
        <w:jc w:val="left"/>
        <w:rPr>
          <w:rFonts w:ascii="宋体" w:hAnsi="宋体"/>
          <w:szCs w:val="21"/>
        </w:rPr>
      </w:pPr>
      <w:r>
        <w:rPr>
          <w:rFonts w:hint="eastAsia" w:ascii="宋体" w:hAnsi="宋体"/>
          <w:szCs w:val="21"/>
        </w:rPr>
        <w:t>63</w:t>
      </w:r>
      <w:r>
        <w:rPr>
          <w:rFonts w:ascii="宋体" w:hAnsi="宋体"/>
          <w:szCs w:val="21"/>
        </w:rPr>
        <w:t>.1</w:t>
      </w:r>
      <w:r>
        <w:rPr>
          <w:rFonts w:hint="eastAsia" w:ascii="宋体" w:hAnsi="宋体"/>
          <w:szCs w:val="21"/>
        </w:rPr>
        <w:t xml:space="preserve">    约定预付款：本合同通用条款第</w:t>
      </w:r>
      <w:r>
        <w:rPr>
          <w:rFonts w:ascii="宋体" w:hAnsi="宋体"/>
          <w:szCs w:val="21"/>
        </w:rPr>
        <w:t>63.1款不予适用，</w:t>
      </w:r>
      <w:r>
        <w:rPr>
          <w:rFonts w:hint="eastAsia" w:ascii="宋体" w:hAnsi="宋体"/>
          <w:szCs w:val="21"/>
        </w:rPr>
        <w:t>本合同不设预付款。</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hint="eastAsia" w:ascii="宋体" w:hAnsi="宋体"/>
          <w:b/>
          <w:szCs w:val="21"/>
        </w:rPr>
        <w:t>64、安全防护、文明施工措施费</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4</w:t>
      </w:r>
      <w:r>
        <w:rPr>
          <w:rFonts w:ascii="宋体" w:hAnsi="宋体"/>
          <w:szCs w:val="21"/>
        </w:rPr>
        <w:t>.1</w:t>
      </w:r>
      <w:r>
        <w:rPr>
          <w:rFonts w:hint="eastAsia" w:ascii="宋体" w:hAnsi="宋体"/>
          <w:szCs w:val="21"/>
        </w:rPr>
        <w:t xml:space="preserve">    内容、范围和金额：本合同安全防护、文明施工措施费已包含在本合同价款中，并已包含了完成本工程所需的技术措施、安全措施、文明措施等非工程实体项目全部措施费用。在工程施工过程中，包含在措施费中的工作内容，乙方必须按相关规定全部施工及搭设。</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4</w:t>
      </w:r>
      <w:r>
        <w:rPr>
          <w:rFonts w:ascii="宋体" w:hAnsi="宋体"/>
          <w:szCs w:val="21"/>
        </w:rPr>
        <w:t>.2约定支付方式：</w:t>
      </w:r>
      <w:r>
        <w:rPr>
          <w:rFonts w:hint="eastAsia" w:ascii="宋体" w:hAnsi="宋体"/>
          <w:szCs w:val="21"/>
        </w:rPr>
        <w:t>安全防护、文明施工措施费已按工程进度款支付比例分摊并包含在各期工程进度款中，甲方无需额外再行支付。</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6</w:t>
      </w:r>
      <w:r>
        <w:rPr>
          <w:rFonts w:hint="eastAsia" w:ascii="宋体" w:hAnsi="宋体"/>
          <w:b/>
          <w:szCs w:val="21"/>
        </w:rPr>
        <w:t>5、工程进度款</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 xml:space="preserve">    约定支付期限和提交支付申请</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.1.1</w:t>
      </w:r>
      <w:r>
        <w:rPr>
          <w:rFonts w:hint="eastAsia" w:ascii="宋体" w:hAnsi="宋体"/>
          <w:szCs w:val="21"/>
        </w:rPr>
        <w:t xml:space="preserve">  本合同工程竣工结算前，由甲方按如下节点约定付款：</w:t>
      </w:r>
    </w:p>
    <w:p>
      <w:pPr>
        <w:adjustRightInd w:val="0"/>
        <w:snapToGrid w:val="0"/>
        <w:rPr>
          <w:rFonts w:ascii="宋体" w:hAnsi="宋体"/>
          <w:szCs w:val="21"/>
        </w:rPr>
      </w:pPr>
      <w:r>
        <w:rPr>
          <w:rFonts w:ascii="宋体" w:hAnsi="宋体"/>
          <w:szCs w:val="21"/>
        </w:rPr>
        <w:t>6</w:t>
      </w:r>
      <w:r>
        <w:rPr>
          <w:rFonts w:hint="eastAsia" w:ascii="宋体" w:hAnsi="宋体"/>
          <w:szCs w:val="21"/>
        </w:rPr>
        <w:t>5</w:t>
      </w:r>
      <w:r>
        <w:rPr>
          <w:rFonts w:ascii="宋体" w:hAnsi="宋体"/>
          <w:szCs w:val="21"/>
        </w:rPr>
        <w:t>.1.1.1</w:t>
      </w:r>
      <w:r>
        <w:rPr>
          <w:rFonts w:hint="eastAsia" w:ascii="宋体" w:hAnsi="宋体"/>
          <w:szCs w:val="21"/>
        </w:rPr>
        <w:t>由甲方根据乙方工程进度完成情况分三个阶段支付工程进度款，具体为：</w:t>
      </w:r>
    </w:p>
    <w:p>
      <w:pPr>
        <w:numPr>
          <w:ilvl w:val="0"/>
          <w:numId w:val="1"/>
        </w:numPr>
        <w:adjustRightInd w:val="0"/>
        <w:snapToGrid w:val="0"/>
        <w:ind w:left="567" w:hanging="567" w:hangingChars="270"/>
        <w:rPr>
          <w:rFonts w:ascii="宋体" w:hAnsi="宋体"/>
          <w:szCs w:val="21"/>
        </w:rPr>
      </w:pPr>
      <w:r>
        <w:rPr>
          <w:rFonts w:hint="eastAsia" w:ascii="宋体" w:hAnsi="宋体"/>
          <w:szCs w:val="21"/>
        </w:rPr>
        <w:t>本工程合同签定后，开工之前。由甲方按合同包干总价的20%预付乙方工程款。预付款为乙方购置材料、设备、施工设备、修建临时设施以及组织施工队伍进场；</w:t>
      </w:r>
    </w:p>
    <w:p>
      <w:pPr>
        <w:numPr>
          <w:ilvl w:val="0"/>
          <w:numId w:val="1"/>
        </w:numPr>
        <w:adjustRightInd w:val="0"/>
        <w:snapToGrid w:val="0"/>
        <w:ind w:left="945" w:hanging="945" w:hangingChars="450"/>
        <w:rPr>
          <w:rFonts w:ascii="宋体" w:hAnsi="宋体"/>
          <w:szCs w:val="21"/>
        </w:rPr>
      </w:pPr>
      <w:r>
        <w:rPr>
          <w:rFonts w:hint="eastAsia" w:ascii="宋体" w:hAnsi="宋体"/>
          <w:szCs w:val="21"/>
        </w:rPr>
        <w:t>本工程乙方正式进场施工后，于每月25日前提交当月所完成的工程量给甲方审核，</w:t>
      </w:r>
    </w:p>
    <w:p>
      <w:pPr>
        <w:adjustRightInd w:val="0"/>
        <w:snapToGrid w:val="0"/>
        <w:ind w:left="-945" w:leftChars="-450" w:firstLine="1470" w:firstLineChars="700"/>
        <w:rPr>
          <w:rFonts w:ascii="宋体" w:hAnsi="宋体"/>
          <w:szCs w:val="21"/>
        </w:rPr>
      </w:pPr>
      <w:r>
        <w:rPr>
          <w:rFonts w:hint="eastAsia" w:ascii="宋体" w:hAnsi="宋体"/>
          <w:szCs w:val="21"/>
        </w:rPr>
        <w:t>甲方审核完毕后于1</w:t>
      </w:r>
      <w:r>
        <w:rPr>
          <w:rFonts w:ascii="宋体" w:hAnsi="宋体"/>
          <w:szCs w:val="21"/>
        </w:rPr>
        <w:t>5</w:t>
      </w:r>
      <w:r>
        <w:rPr>
          <w:rFonts w:hint="eastAsia" w:ascii="宋体" w:hAnsi="宋体"/>
          <w:szCs w:val="21"/>
        </w:rPr>
        <w:t>日内支付至80%工程款；</w:t>
      </w:r>
    </w:p>
    <w:p>
      <w:pPr>
        <w:numPr>
          <w:ilvl w:val="0"/>
          <w:numId w:val="1"/>
        </w:numPr>
        <w:adjustRightInd w:val="0"/>
        <w:snapToGrid w:val="0"/>
        <w:ind w:left="945" w:hanging="945" w:hangingChars="450"/>
        <w:rPr>
          <w:rFonts w:ascii="宋体" w:hAnsi="宋体"/>
          <w:szCs w:val="21"/>
        </w:rPr>
      </w:pPr>
      <w:r>
        <w:rPr>
          <w:rFonts w:hint="eastAsia" w:ascii="宋体" w:hAnsi="宋体"/>
          <w:szCs w:val="21"/>
        </w:rPr>
        <w:t>本工程竣工验收合格后，支付至经甲方核定进度总造价的90%，且相应扣除20%的工</w:t>
      </w:r>
    </w:p>
    <w:p>
      <w:pPr>
        <w:adjustRightInd w:val="0"/>
        <w:snapToGrid w:val="0"/>
        <w:ind w:left="-945" w:leftChars="-450" w:firstLine="1470" w:firstLineChars="700"/>
        <w:rPr>
          <w:rFonts w:ascii="宋体" w:hAnsi="宋体"/>
          <w:szCs w:val="21"/>
        </w:rPr>
      </w:pPr>
      <w:r>
        <w:rPr>
          <w:rFonts w:hint="eastAsia" w:ascii="宋体" w:hAnsi="宋体"/>
          <w:szCs w:val="21"/>
        </w:rPr>
        <w:t>程预付款。</w:t>
      </w:r>
    </w:p>
    <w:p>
      <w:pPr>
        <w:adjustRightInd w:val="0"/>
        <w:snapToGrid w:val="0"/>
        <w:ind w:left="945" w:hanging="945" w:hangingChars="450"/>
        <w:rPr>
          <w:rFonts w:ascii="宋体" w:hAnsi="宋体"/>
          <w:szCs w:val="21"/>
        </w:rPr>
      </w:pPr>
      <w:r>
        <w:rPr>
          <w:rFonts w:hint="eastAsia" w:ascii="宋体" w:hAnsi="宋体"/>
          <w:szCs w:val="21"/>
        </w:rPr>
        <w:t>（4）经甲方验收移交及结算完成，支付至结算总造价的97%；</w:t>
      </w:r>
    </w:p>
    <w:p>
      <w:pPr>
        <w:adjustRightInd w:val="0"/>
        <w:snapToGrid w:val="0"/>
        <w:ind w:left="945" w:hanging="945" w:hangingChars="450"/>
        <w:rPr>
          <w:rFonts w:ascii="宋体" w:hAnsi="宋体"/>
          <w:szCs w:val="21"/>
        </w:rPr>
      </w:pPr>
      <w:r>
        <w:rPr>
          <w:rFonts w:hint="eastAsia" w:ascii="宋体" w:hAnsi="宋体"/>
          <w:szCs w:val="21"/>
        </w:rPr>
        <w:t>（5）剩余工程结算总造价的3%为工程质量保证金，按本合同保修协议的约定支付（无息）。</w:t>
      </w:r>
    </w:p>
    <w:p>
      <w:pPr>
        <w:adjustRightInd w:val="0"/>
        <w:snapToGrid w:val="0"/>
        <w:ind w:left="840" w:hanging="840" w:hangingChars="400"/>
        <w:rPr>
          <w:rFonts w:ascii="宋体" w:hAnsi="宋体"/>
          <w:snapToGrid w:val="0"/>
          <w:kern w:val="0"/>
        </w:rPr>
      </w:pPr>
      <w:r>
        <w:rPr>
          <w:rFonts w:hint="eastAsia" w:ascii="宋体" w:hAnsi="宋体"/>
          <w:szCs w:val="21"/>
        </w:rPr>
        <w:t>65.1.1.2  进度款与工程质量以及工期挂钩。若乙方工程质量达不到约定的质量要求或者工</w:t>
      </w:r>
      <w:r>
        <w:rPr>
          <w:rFonts w:hint="eastAsia" w:ascii="宋体" w:hAnsi="宋体"/>
        </w:rPr>
        <w:t>程延误的，甲方有权暂缓支付该节点进度款。</w:t>
      </w:r>
    </w:p>
    <w:p>
      <w:pPr>
        <w:adjustRightInd w:val="0"/>
        <w:snapToGrid w:val="0"/>
        <w:ind w:left="840" w:hanging="840" w:hangingChars="400"/>
        <w:rPr>
          <w:rFonts w:ascii="宋体" w:hAnsi="宋体"/>
          <w:szCs w:val="21"/>
        </w:rPr>
      </w:pPr>
      <w:r>
        <w:rPr>
          <w:rFonts w:ascii="宋体" w:hAnsi="宋体"/>
          <w:snapToGrid w:val="0"/>
          <w:szCs w:val="21"/>
        </w:rPr>
        <w:t>6</w:t>
      </w:r>
      <w:r>
        <w:rPr>
          <w:rFonts w:hint="eastAsia" w:ascii="宋体" w:hAnsi="宋体"/>
          <w:snapToGrid w:val="0"/>
          <w:szCs w:val="21"/>
        </w:rPr>
        <w:t>5</w:t>
      </w:r>
      <w:r>
        <w:rPr>
          <w:rFonts w:ascii="宋体" w:hAnsi="宋体"/>
          <w:snapToGrid w:val="0"/>
          <w:szCs w:val="21"/>
        </w:rPr>
        <w:t>.1.1.</w:t>
      </w:r>
      <w:r>
        <w:rPr>
          <w:rFonts w:hint="eastAsia" w:ascii="宋体" w:hAnsi="宋体"/>
          <w:snapToGrid w:val="0"/>
          <w:szCs w:val="21"/>
        </w:rPr>
        <w:t>3在上述各</w:t>
      </w:r>
      <w:r>
        <w:rPr>
          <w:rFonts w:hint="eastAsia" w:ascii="宋体" w:hAnsi="宋体"/>
          <w:szCs w:val="21"/>
        </w:rPr>
        <w:t>阶段工程进度完成前</w:t>
      </w:r>
      <w:r>
        <w:rPr>
          <w:rFonts w:ascii="宋体" w:hAnsi="宋体"/>
          <w:szCs w:val="21"/>
        </w:rPr>
        <w:t>15天</w:t>
      </w:r>
      <w:r>
        <w:rPr>
          <w:rFonts w:hint="eastAsia" w:ascii="宋体" w:hAnsi="宋体"/>
          <w:szCs w:val="21"/>
        </w:rPr>
        <w:t>，乙方应填报工程款申请表及预算书、工程形象进度表、工程计算书、工程量计价原始文件等资料报监理单位和甲方，监理单位和甲方应在30天内完成审核，审核完成后</w:t>
      </w:r>
      <w:r>
        <w:rPr>
          <w:rFonts w:ascii="宋体" w:hAnsi="宋体"/>
          <w:szCs w:val="21"/>
        </w:rPr>
        <w:t>10</w:t>
      </w:r>
      <w:r>
        <w:rPr>
          <w:rFonts w:hint="eastAsia" w:ascii="宋体" w:hAnsi="宋体"/>
          <w:szCs w:val="21"/>
        </w:rPr>
        <w:t>个工作日内支付相应的工程款，若乙方延迟提交前述资料的，则工程进度款支付顺延。此外，因工程新增或变更导致工程量变化的，乙方应在相应阶段的工程款申请时一并申报，经监理单位及甲方审核确认后按上述约定比例支付。</w:t>
      </w:r>
    </w:p>
    <w:p>
      <w:pPr>
        <w:adjustRightInd w:val="0"/>
        <w:snapToGrid w:val="0"/>
        <w:ind w:left="840" w:hanging="840" w:hangingChars="400"/>
        <w:rPr>
          <w:rFonts w:ascii="宋体" w:hAnsi="宋体"/>
          <w:snapToGrid w:val="0"/>
          <w:szCs w:val="21"/>
        </w:rPr>
      </w:pPr>
      <w:r>
        <w:rPr>
          <w:rFonts w:ascii="宋体" w:hAnsi="宋体"/>
          <w:snapToGrid w:val="0"/>
          <w:szCs w:val="21"/>
        </w:rPr>
        <w:t>6</w:t>
      </w:r>
      <w:r>
        <w:rPr>
          <w:rFonts w:hint="eastAsia" w:ascii="宋体" w:hAnsi="宋体"/>
          <w:snapToGrid w:val="0"/>
          <w:szCs w:val="21"/>
        </w:rPr>
        <w:t>5</w:t>
      </w:r>
      <w:r>
        <w:rPr>
          <w:rFonts w:ascii="宋体" w:hAnsi="宋体"/>
          <w:snapToGrid w:val="0"/>
          <w:szCs w:val="21"/>
        </w:rPr>
        <w:t>.1.1.</w:t>
      </w:r>
      <w:r>
        <w:rPr>
          <w:rFonts w:hint="eastAsia" w:ascii="宋体" w:hAnsi="宋体"/>
          <w:snapToGrid w:val="0"/>
          <w:szCs w:val="21"/>
        </w:rPr>
        <w:t>4</w:t>
      </w:r>
      <w:r>
        <w:rPr>
          <w:rFonts w:hint="eastAsia" w:ascii="宋体" w:hAnsi="宋体"/>
          <w:snapToGrid w:val="0"/>
          <w:kern w:val="0"/>
          <w:szCs w:val="21"/>
        </w:rPr>
        <w:t>为方便双方核对，减少核对时间，乙方上报的预算、工程进度款准确度必须在</w:t>
      </w:r>
      <w:r>
        <w:rPr>
          <w:rFonts w:ascii="宋体" w:hAnsi="宋体"/>
          <w:snapToGrid w:val="0"/>
          <w:kern w:val="0"/>
          <w:szCs w:val="21"/>
        </w:rPr>
        <w:t>90%</w:t>
      </w:r>
      <w:r>
        <w:rPr>
          <w:rFonts w:hint="eastAsia" w:ascii="宋体" w:hAnsi="宋体"/>
          <w:snapToGrid w:val="0"/>
          <w:kern w:val="0"/>
          <w:szCs w:val="21"/>
        </w:rPr>
        <w:t>以上，如经双方校对的预算、工程进度款造价与施工单位申报的预算、工程进度款造价相差超过</w:t>
      </w:r>
      <w:r>
        <w:rPr>
          <w:rFonts w:ascii="宋体" w:hAnsi="宋体"/>
          <w:snapToGrid w:val="0"/>
          <w:kern w:val="0"/>
          <w:szCs w:val="21"/>
        </w:rPr>
        <w:t>10%</w:t>
      </w:r>
      <w:r>
        <w:rPr>
          <w:rFonts w:hint="eastAsia" w:ascii="宋体" w:hAnsi="宋体"/>
          <w:snapToGrid w:val="0"/>
          <w:kern w:val="0"/>
          <w:szCs w:val="21"/>
        </w:rPr>
        <w:t>（含</w:t>
      </w:r>
      <w:r>
        <w:rPr>
          <w:rFonts w:ascii="宋体" w:hAnsi="宋体"/>
          <w:snapToGrid w:val="0"/>
          <w:kern w:val="0"/>
          <w:szCs w:val="21"/>
        </w:rPr>
        <w:t>10%</w:t>
      </w:r>
      <w:r>
        <w:rPr>
          <w:rFonts w:hint="eastAsia" w:ascii="宋体" w:hAnsi="宋体"/>
          <w:snapToGrid w:val="0"/>
          <w:kern w:val="0"/>
          <w:szCs w:val="21"/>
        </w:rPr>
        <w:t>），则因此造成的工程款或结算支付延误责任由乙方承担，且乙方应按超出部分的10%向甲方支付违约金，在同次进度款直接予以扣除。</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2  根据佛山市南海区劳动和社会保障局、佛山市南海区建设局，关于《佛山市南海区建设领域工资支付管理暂行办法》（南劳社【</w:t>
      </w:r>
      <w:r>
        <w:rPr>
          <w:rFonts w:ascii="宋体" w:hAnsi="宋体"/>
          <w:szCs w:val="21"/>
        </w:rPr>
        <w:t>2009】45号）文件规定，由甲方一次性将相关工人工资保证金存入规定账户</w:t>
      </w:r>
      <w:r>
        <w:rPr>
          <w:rFonts w:hint="eastAsia" w:ascii="宋体" w:hAnsi="宋体"/>
          <w:szCs w:val="21"/>
        </w:rPr>
        <w:t>，并且乙方同意在本合同第一阶段进度款支付时甲方有权从所需支付的工程进度款中直接扣除该等工人工资保证金及其利息。</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3  根据佛山市《关于全市征收新型墙体材料专项基金的通知》（佛府办[2011]188号）规定，甲方在办理建设工程施工许可证前，将按照本合同建设项目批准文件或规划审批确定的建筑面积一次性足额预缴专项基金存入规定账户（若行政主管部门要求存入）,该笔基金为甲方代缴，如相关政府部门不能全额退还的，差额由施工单位承担，在第一阶段进度款支付时扣回。</w:t>
      </w:r>
    </w:p>
    <w:p>
      <w:pPr>
        <w:adjustRightInd w:val="0"/>
        <w:snapToGrid w:val="0"/>
        <w:ind w:left="848" w:hanging="848" w:hangingChars="404"/>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4  乙方在甲方支付任何一期工程款项之前，均应向甲方提供由机构所在地税务机关出具的正式的、足额的、符合国家法律法规和标准的足额的税率为11%增值税专用发票，乙方开具增值税专用发票的形式与内容应合法、有效、完整、准确，不开具或开具不合格的增值税专用发票，甲方有权迟延支付应付款项直至乙方开具合格票据之日且不承担任何违约责任，且乙方的各项合同义务仍应按合同约定继续履行。乙方开具增值税专用发票必须在开具之日起五个工作日内将增值税专用发票送达至甲方处。在实际工程价款付至全工程结算总价款</w:t>
      </w:r>
      <w:r>
        <w:rPr>
          <w:rFonts w:ascii="宋体" w:hAnsi="宋体"/>
          <w:szCs w:val="21"/>
        </w:rPr>
        <w:t>97%</w:t>
      </w:r>
      <w:r>
        <w:rPr>
          <w:rFonts w:hint="eastAsia" w:ascii="宋体" w:hAnsi="宋体"/>
          <w:szCs w:val="21"/>
        </w:rPr>
        <w:t>时，乙方应提供与全工程结算总价款等额的发票（即包含</w:t>
      </w:r>
      <w:r>
        <w:rPr>
          <w:rFonts w:ascii="宋体" w:hAnsi="宋体"/>
          <w:szCs w:val="21"/>
        </w:rPr>
        <w:t>7%</w:t>
      </w:r>
      <w:r>
        <w:rPr>
          <w:rFonts w:hint="eastAsia" w:ascii="宋体" w:hAnsi="宋体"/>
          <w:szCs w:val="21"/>
        </w:rPr>
        <w:t>的工程质保金金额），否则甲方有权拒付该期或下一期的工程价款。</w:t>
      </w:r>
    </w:p>
    <w:p>
      <w:pPr>
        <w:adjustRightInd w:val="0"/>
        <w:snapToGrid w:val="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5  乙方所有款项的支付和申请需按本合同附件九《造价文件送审快速指引》规定执行。</w:t>
      </w:r>
    </w:p>
    <w:p>
      <w:pPr>
        <w:adjustRightInd w:val="0"/>
        <w:ind w:left="840" w:hanging="840" w:hangingChars="400"/>
        <w:contextualSpacing/>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 xml:space="preserve">6  乙方开具增值税专用发票，应按如下要求填写甲方相关信息： </w:t>
      </w:r>
    </w:p>
    <w:p>
      <w:pPr>
        <w:ind w:firstLine="420" w:firstLineChars="200"/>
        <w:rPr>
          <w:rFonts w:ascii="宋体" w:hAnsi="宋体"/>
          <w:szCs w:val="21"/>
        </w:rPr>
      </w:pPr>
      <w:r>
        <w:rPr>
          <w:rFonts w:hint="eastAsia" w:ascii="宋体" w:hAnsi="宋体"/>
          <w:szCs w:val="21"/>
        </w:rPr>
        <w:t xml:space="preserve">    公司名称：</w:t>
      </w:r>
      <w:r>
        <w:rPr>
          <w:rFonts w:hint="eastAsia" w:ascii="宋体" w:hAnsi="宋体"/>
          <w:szCs w:val="21"/>
          <w:u w:val="single"/>
        </w:rPr>
        <w:t>佛山市南海恒德胜嘉置业有限公司</w:t>
      </w:r>
    </w:p>
    <w:p>
      <w:pPr>
        <w:ind w:firstLine="420" w:firstLineChars="200"/>
        <w:rPr>
          <w:rFonts w:ascii="宋体" w:hAnsi="宋体"/>
          <w:szCs w:val="21"/>
          <w:u w:val="single"/>
        </w:rPr>
      </w:pPr>
      <w:r>
        <w:rPr>
          <w:rFonts w:hint="eastAsia" w:ascii="宋体" w:hAnsi="宋体"/>
          <w:szCs w:val="21"/>
        </w:rPr>
        <w:t xml:space="preserve">    纳税人类别：</w:t>
      </w:r>
      <w:r>
        <w:rPr>
          <w:rFonts w:hint="eastAsia" w:ascii="宋体" w:hAnsi="宋体"/>
          <w:szCs w:val="21"/>
          <w:u w:val="single"/>
        </w:rPr>
        <w:t>一般纳税人</w:t>
      </w:r>
    </w:p>
    <w:p>
      <w:pPr>
        <w:ind w:firstLine="420" w:firstLineChars="200"/>
        <w:rPr>
          <w:rFonts w:ascii="宋体" w:hAnsi="宋体"/>
          <w:szCs w:val="21"/>
          <w:u w:val="single"/>
        </w:rPr>
      </w:pPr>
      <w:r>
        <w:rPr>
          <w:rFonts w:hint="eastAsia" w:ascii="宋体" w:hAnsi="宋体"/>
          <w:szCs w:val="21"/>
        </w:rPr>
        <w:t xml:space="preserve">    纳税人识别号：</w:t>
      </w:r>
    </w:p>
    <w:p>
      <w:pPr>
        <w:ind w:firstLine="420" w:firstLineChars="200"/>
        <w:rPr>
          <w:rFonts w:ascii="宋体" w:hAnsi="宋体"/>
          <w:szCs w:val="21"/>
        </w:rPr>
      </w:pPr>
      <w:r>
        <w:rPr>
          <w:rFonts w:hint="eastAsia" w:ascii="宋体" w:hAnsi="宋体"/>
          <w:szCs w:val="21"/>
        </w:rPr>
        <w:t xml:space="preserve">    银行账户：</w:t>
      </w:r>
    </w:p>
    <w:p>
      <w:pPr>
        <w:ind w:firstLine="420" w:firstLineChars="200"/>
        <w:rPr>
          <w:rFonts w:ascii="宋体" w:hAnsi="宋体"/>
          <w:szCs w:val="21"/>
        </w:rPr>
      </w:pPr>
      <w:r>
        <w:rPr>
          <w:rFonts w:hint="eastAsia" w:ascii="宋体" w:hAnsi="宋体"/>
          <w:szCs w:val="21"/>
        </w:rPr>
        <w:t xml:space="preserve">    账号：</w:t>
      </w:r>
    </w:p>
    <w:p>
      <w:pPr>
        <w:ind w:left="537" w:leftChars="256"/>
        <w:rPr>
          <w:rFonts w:ascii="宋体" w:hAnsi="宋体"/>
          <w:szCs w:val="21"/>
        </w:rPr>
      </w:pPr>
      <w:r>
        <w:rPr>
          <w:rFonts w:hint="eastAsia" w:ascii="宋体" w:hAnsi="宋体"/>
          <w:szCs w:val="21"/>
        </w:rPr>
        <w:t xml:space="preserve">   注册地址：</w:t>
      </w:r>
    </w:p>
    <w:p>
      <w:pPr>
        <w:ind w:firstLine="420" w:firstLineChars="200"/>
        <w:rPr>
          <w:rFonts w:ascii="宋体" w:hAnsi="宋体"/>
          <w:szCs w:val="21"/>
        </w:rPr>
      </w:pPr>
      <w:r>
        <w:rPr>
          <w:rFonts w:hint="eastAsia" w:ascii="宋体" w:hAnsi="宋体"/>
          <w:szCs w:val="21"/>
        </w:rPr>
        <w:t xml:space="preserve">    联系电话：</w:t>
      </w:r>
    </w:p>
    <w:p>
      <w:pPr>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7  发票无论何种原因丢失，乙方应配合甲方按照国家法律、法规、规章、政策等规定重新取得增值税专用发票，重新取得相关凭证发生的费用由发票丢失方承担。</w:t>
      </w:r>
    </w:p>
    <w:p>
      <w:pPr>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8  乙方提供的增值税专用发票没有通过税务部门认证，造成甲方不能抵扣的，乙方应向甲方支付未通过认证发票中载明的税款金额作为违约金，如因抵扣凭证造成甲方企业所得税损失，乙方还应予以赔偿。</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9  乙方未按本合同约定开具、送达增值税专用发票的，应按甲方要求采取重新开具发票等补救措施。同时，甲方有权要求乙方支付合同总价5%的违约金，违约金不足以弥补甲方损失的，乙方还应以赔偿。</w:t>
      </w:r>
    </w:p>
    <w:p>
      <w:pPr>
        <w:adjustRightInd w:val="0"/>
        <w:snapToGrid w:val="0"/>
        <w:ind w:left="848" w:hanging="848" w:hangingChars="404"/>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10 资金计划：合同签订后，乙方上报甲方的施工进度计划在甲方工程管理中心审核确认后，需在 15天内向甲方成本管理中心上报工程整体资金计划。在每次申请工程进度款时，应根据实际施工情况，同时上报下次进度款所需资金计划，该计划与下次实报工程进度款（经双方确认后金额）允许误差不能超过±20%；对实际产值超出计划20%（不含20%）部分金额，甲方有权延期支付，同时乙方应把该超出部分计划并入下次资金计划一并提报；若实际产值金额低于计划20%金额，则按实际产值支付当期进度款，同时低出部分（计划金额*0.8－实际产值）计划金额，甲方将有权在任意一期进度计划中扣除相应计划金额，因资金计划偏差引起的延期支付的后果将由乙方承。</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11 乙方应按甲方要求时间提报资金计划，且应保障计划准确性；延迟提报资金计划，甲方将有权顺延款项支付，直到收到该计划为止，同时因此而产生的所有责任将有乙方承担。</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12 在甲方支付乙方每期进度款之前，乙方必须先向甲方缴纳工程违规罚款（若有）、施工水电费用等费用。(注:施工水电费由总包单位代收)</w:t>
      </w:r>
    </w:p>
    <w:p>
      <w:pPr>
        <w:adjustRightInd w:val="0"/>
        <w:snapToGrid w:val="0"/>
        <w:ind w:left="840" w:hanging="840" w:hangingChars="400"/>
        <w:jc w:val="left"/>
        <w:rPr>
          <w:rFonts w:ascii="宋体" w:hAnsi="宋体"/>
          <w:szCs w:val="21"/>
        </w:rPr>
      </w:pPr>
      <w:r>
        <w:rPr>
          <w:rFonts w:hint="eastAsia" w:ascii="宋体" w:hAnsi="宋体"/>
          <w:szCs w:val="21"/>
        </w:rPr>
        <w:t>　　　　应收水费＝分摊水费金额*（1+13%）</w:t>
      </w:r>
    </w:p>
    <w:p>
      <w:pPr>
        <w:adjustRightInd w:val="0"/>
        <w:snapToGrid w:val="0"/>
        <w:ind w:left="840" w:hanging="840" w:hangingChars="400"/>
        <w:jc w:val="left"/>
        <w:rPr>
          <w:rFonts w:ascii="宋体" w:hAnsi="宋体"/>
          <w:szCs w:val="21"/>
        </w:rPr>
      </w:pPr>
      <w:r>
        <w:rPr>
          <w:rFonts w:hint="eastAsia" w:ascii="宋体" w:hAnsi="宋体"/>
          <w:szCs w:val="21"/>
        </w:rPr>
        <w:t>　　　　应收电费＝分摊电费金额*（1+17%）</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6</w:t>
      </w:r>
      <w:r>
        <w:rPr>
          <w:rFonts w:hint="eastAsia" w:ascii="宋体" w:hAnsi="宋体"/>
          <w:b/>
          <w:szCs w:val="21"/>
        </w:rPr>
        <w:t>6</w:t>
      </w:r>
      <w:r>
        <w:rPr>
          <w:rFonts w:ascii="宋体" w:hAnsi="宋体"/>
          <w:b/>
          <w:szCs w:val="21"/>
        </w:rPr>
        <w:t>、费用索赔</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 xml:space="preserve">7    </w:t>
      </w:r>
      <w:r>
        <w:rPr>
          <w:rFonts w:ascii="宋体" w:hAnsi="宋体"/>
          <w:szCs w:val="21"/>
        </w:rPr>
        <w:t>索赔款支付</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 xml:space="preserve">  对于本合同约定的乙方一般违约行为</w:t>
      </w:r>
      <w:r>
        <w:rPr>
          <w:rFonts w:ascii="宋体" w:hAnsi="宋体"/>
          <w:szCs w:val="21"/>
        </w:rPr>
        <w:t>，</w:t>
      </w:r>
      <w:r>
        <w:rPr>
          <w:rFonts w:hint="eastAsia" w:ascii="宋体" w:hAnsi="宋体"/>
          <w:szCs w:val="21"/>
        </w:rPr>
        <w:t>乙方应按每项每次人民币</w:t>
      </w:r>
      <w:r>
        <w:rPr>
          <w:rFonts w:ascii="宋体" w:hAnsi="宋体"/>
          <w:szCs w:val="21"/>
          <w:u w:val="single"/>
        </w:rPr>
        <w:t>5000</w:t>
      </w:r>
      <w:r>
        <w:rPr>
          <w:rFonts w:hint="eastAsia" w:ascii="宋体" w:hAnsi="宋体"/>
          <w:szCs w:val="21"/>
          <w:u w:val="single"/>
        </w:rPr>
        <w:t>元至</w:t>
      </w:r>
      <w:r>
        <w:rPr>
          <w:rFonts w:ascii="宋体" w:hAnsi="宋体"/>
          <w:szCs w:val="21"/>
          <w:u w:val="single"/>
        </w:rPr>
        <w:t>2</w:t>
      </w:r>
      <w:r>
        <w:rPr>
          <w:rFonts w:hint="eastAsia" w:ascii="宋体" w:hAnsi="宋体"/>
          <w:szCs w:val="21"/>
          <w:u w:val="single"/>
        </w:rPr>
        <w:t>万</w:t>
      </w:r>
      <w:r>
        <w:rPr>
          <w:rFonts w:hint="eastAsia" w:ascii="宋体" w:hAnsi="宋体"/>
          <w:szCs w:val="21"/>
        </w:rPr>
        <w:t>元向甲方支付违约金。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w:t>
      </w:r>
      <w:r>
        <w:rPr>
          <w:rFonts w:hint="eastAsia" w:ascii="宋体" w:hAnsi="宋体"/>
          <w:szCs w:val="21"/>
        </w:rPr>
        <w:t xml:space="preserve">  乙方如下行为构成严重违约，具体包括：</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.2.1</w:t>
      </w:r>
      <w:r>
        <w:rPr>
          <w:rFonts w:hint="eastAsia" w:ascii="宋体" w:hAnsi="宋体"/>
          <w:szCs w:val="21"/>
        </w:rPr>
        <w:t>工程质量未达到合同约定的质量标准的。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.2.2</w:t>
      </w:r>
      <w:r>
        <w:rPr>
          <w:rFonts w:hint="eastAsia" w:ascii="宋体" w:hAnsi="宋体"/>
          <w:szCs w:val="21"/>
        </w:rPr>
        <w:t>未按既定施工方案施工的。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.2.3</w:t>
      </w:r>
      <w:r>
        <w:rPr>
          <w:rFonts w:hint="eastAsia" w:ascii="宋体" w:hAnsi="宋体"/>
          <w:szCs w:val="21"/>
        </w:rPr>
        <w:t>按</w:t>
      </w:r>
      <w:r>
        <w:rPr>
          <w:rFonts w:hint="eastAsia" w:ascii="宋体" w:hAnsi="宋体"/>
          <w:szCs w:val="21"/>
          <w:u w:val="single"/>
        </w:rPr>
        <w:t>附件六《建筑施工安全检查评分汇总表》</w:t>
      </w:r>
      <w:r>
        <w:rPr>
          <w:rFonts w:hint="eastAsia" w:ascii="宋体" w:hAnsi="宋体"/>
          <w:szCs w:val="21"/>
        </w:rPr>
        <w:t>考核，乙方安全文明施工评分累计</w:t>
      </w:r>
      <w:r>
        <w:rPr>
          <w:rFonts w:ascii="宋体" w:hAnsi="宋体"/>
          <w:szCs w:val="21"/>
        </w:rPr>
        <w:t>3个月</w:t>
      </w:r>
      <w:r>
        <w:rPr>
          <w:rFonts w:hint="eastAsia" w:ascii="宋体" w:hAnsi="宋体"/>
          <w:szCs w:val="21"/>
        </w:rPr>
        <w:t>（含本数）以上不及格的。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.2.4</w:t>
      </w:r>
      <w:r>
        <w:rPr>
          <w:rFonts w:hint="eastAsia" w:ascii="宋体" w:hAnsi="宋体"/>
          <w:szCs w:val="21"/>
        </w:rPr>
        <w:t>因安全文明施工及质量原因，被政府监督执法部门勒令停工达</w:t>
      </w:r>
      <w:r>
        <w:rPr>
          <w:rFonts w:ascii="宋体" w:hAnsi="宋体"/>
          <w:szCs w:val="21"/>
        </w:rPr>
        <w:t>7天（含本数）</w:t>
      </w:r>
      <w:r>
        <w:rPr>
          <w:rFonts w:hint="eastAsia" w:ascii="宋体" w:hAnsi="宋体"/>
          <w:szCs w:val="21"/>
        </w:rPr>
        <w:t>以上的或者被处以扣分处罚的。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.2.5</w:t>
      </w:r>
      <w:r>
        <w:rPr>
          <w:rFonts w:hint="eastAsia" w:ascii="宋体" w:hAnsi="宋体"/>
          <w:szCs w:val="21"/>
        </w:rPr>
        <w:t>乙方一般违约累计达</w:t>
      </w:r>
      <w:r>
        <w:rPr>
          <w:rFonts w:hint="eastAsia" w:ascii="宋体" w:hAnsi="宋体"/>
          <w:szCs w:val="21"/>
          <w:u w:val="single"/>
        </w:rPr>
        <w:t>3</w:t>
      </w:r>
      <w:r>
        <w:rPr>
          <w:rFonts w:hint="eastAsia" w:ascii="宋体" w:hAnsi="宋体"/>
          <w:szCs w:val="21"/>
        </w:rPr>
        <w:t>次（含本数）。</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.2.6</w:t>
      </w:r>
      <w:r>
        <w:rPr>
          <w:rFonts w:hint="eastAsia" w:ascii="宋体" w:hAnsi="宋体"/>
          <w:szCs w:val="21"/>
        </w:rPr>
        <w:t>本合同专用条款中约定的其他乙方严重违约行为。</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.3</w:t>
      </w:r>
      <w:r>
        <w:rPr>
          <w:rFonts w:hint="eastAsia" w:ascii="宋体" w:hAnsi="宋体"/>
          <w:szCs w:val="21"/>
        </w:rPr>
        <w:t xml:space="preserve">  对于乙方严重违约行为，乙方应按每次每项人民币</w:t>
      </w:r>
      <w:r>
        <w:rPr>
          <w:rFonts w:ascii="宋体" w:hAnsi="宋体"/>
          <w:szCs w:val="21"/>
          <w:u w:val="single"/>
        </w:rPr>
        <w:t>2</w:t>
      </w:r>
      <w:r>
        <w:rPr>
          <w:rFonts w:hint="eastAsia" w:ascii="宋体" w:hAnsi="宋体"/>
          <w:szCs w:val="21"/>
          <w:u w:val="single"/>
        </w:rPr>
        <w:t>万</w:t>
      </w:r>
      <w:r>
        <w:rPr>
          <w:rFonts w:ascii="宋体" w:hAnsi="宋体"/>
          <w:szCs w:val="21"/>
          <w:u w:val="single"/>
        </w:rPr>
        <w:t>至10</w:t>
      </w:r>
      <w:r>
        <w:rPr>
          <w:rFonts w:hint="eastAsia" w:ascii="宋体" w:hAnsi="宋体"/>
          <w:szCs w:val="21"/>
        </w:rPr>
        <w:t>万元向甲方支付违约金，并且甲方有权要求乙方在规定期限内完成整改。若乙方拒不整改或经整改后仍不符合本合同约定的，则甲方有权另行委派其它单位代替乙方执行或整改，所发生的一切费用加该等费用总金额的</w:t>
      </w:r>
      <w:r>
        <w:rPr>
          <w:rFonts w:ascii="宋体" w:hAnsi="宋体"/>
          <w:szCs w:val="21"/>
        </w:rPr>
        <w:t>15%</w:t>
      </w:r>
      <w:r>
        <w:rPr>
          <w:rFonts w:hint="eastAsia" w:ascii="宋体" w:hAnsi="宋体"/>
          <w:szCs w:val="21"/>
        </w:rPr>
        <w:t>之管理费用均由乙方全部自行承担，且工期亦不予顺延。同时，对于相应阶段之工程进度款，甲方有权顺延支付。</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.4</w:t>
      </w:r>
      <w:r>
        <w:rPr>
          <w:rFonts w:hint="eastAsia" w:ascii="宋体" w:hAnsi="宋体"/>
          <w:szCs w:val="21"/>
        </w:rPr>
        <w:t xml:space="preserve">  本合同工程未能取得《房屋建筑工程和市政基础设施工程竣工验收备案表》的，视为本合同工程竣工验收不合格，届时乙方应按甲方要求及在甲方规定时间完成工程的整改工作，若乙方拒不整改的或经整改仍无法通过竣工验收合格的或乙方无法在甲方规定时间内完成整改的，则甲方有权单方解除本合同以及将不合格部分工程交由第三方完成该整改工作，由此产生的所有费用均由乙方承担，此外乙方还应按本合同价款总额（暂定）的</w:t>
      </w:r>
      <w:r>
        <w:rPr>
          <w:rFonts w:ascii="宋体" w:hAnsi="宋体"/>
          <w:szCs w:val="21"/>
        </w:rPr>
        <w:t>20%向甲方支付违约金及赔偿甲方由此遭受的所有损失。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.5</w:t>
      </w:r>
      <w:r>
        <w:rPr>
          <w:rFonts w:hint="eastAsia" w:ascii="宋体" w:hAnsi="宋体"/>
          <w:szCs w:val="21"/>
        </w:rPr>
        <w:t xml:space="preserve">  在本工程施工过程中，由于乙方施工质量问题、安全事故、因劳务纠纷造成群体性民工上访，受到报纸、电视等媒体的曝光或政府有关主管部门的通报批评，给甲方的形象和声誉造成损失，每次由乙方向甲方支付人民币</w:t>
      </w:r>
      <w:r>
        <w:rPr>
          <w:rFonts w:ascii="宋体" w:hAnsi="宋体"/>
          <w:szCs w:val="21"/>
        </w:rPr>
        <w:t>20</w:t>
      </w:r>
      <w:r>
        <w:rPr>
          <w:rFonts w:hint="eastAsia" w:ascii="宋体" w:hAnsi="宋体"/>
          <w:szCs w:val="21"/>
        </w:rPr>
        <w:t>万元违约金。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.6</w:t>
      </w:r>
      <w:r>
        <w:rPr>
          <w:rFonts w:hint="eastAsia" w:ascii="宋体" w:hAnsi="宋体"/>
          <w:szCs w:val="21"/>
        </w:rPr>
        <w:t xml:space="preserve">  乙方拒绝执行甲方的设计变更或指令，甲方有权另行委派其它单位代替乙方执行，所发生的一切费用加该等费用总金额的</w:t>
      </w:r>
      <w:r>
        <w:rPr>
          <w:rFonts w:ascii="宋体" w:hAnsi="宋体"/>
          <w:szCs w:val="21"/>
        </w:rPr>
        <w:t>50%之管理费用均由乙方全部自行承担，且工期亦不予顺延。</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.7</w:t>
      </w:r>
      <w:r>
        <w:rPr>
          <w:rFonts w:hint="eastAsia" w:ascii="宋体" w:hAnsi="宋体"/>
          <w:szCs w:val="21"/>
        </w:rPr>
        <w:t xml:space="preserve">  乙方必须按国家、省、市的相关规定编制完善、准确的竣工资料和竣工图纸（乙方改图，甲方负责提供电子版及设计签字盖章），否则乙方除应重新按要求提供外，还应向甲方支付人民币</w:t>
      </w:r>
      <w:r>
        <w:rPr>
          <w:rFonts w:ascii="宋体" w:hAnsi="宋体"/>
          <w:szCs w:val="21"/>
        </w:rPr>
        <w:t>20</w:t>
      </w:r>
      <w:r>
        <w:rPr>
          <w:rFonts w:hint="eastAsia" w:ascii="宋体" w:hAnsi="宋体"/>
          <w:szCs w:val="21"/>
        </w:rPr>
        <w:t>万元违约金。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.8</w:t>
      </w:r>
      <w:r>
        <w:rPr>
          <w:rFonts w:hint="eastAsia" w:ascii="宋体" w:hAnsi="宋体"/>
          <w:szCs w:val="21"/>
        </w:rPr>
        <w:t xml:space="preserve">  若乙方不按合同要求对甲方指定分包人提供总包管理及配合服务的，则甲方有权对乙方处以人民币</w:t>
      </w:r>
      <w:r>
        <w:rPr>
          <w:rFonts w:ascii="宋体" w:hAnsi="宋体"/>
          <w:szCs w:val="21"/>
        </w:rPr>
        <w:t>2</w:t>
      </w:r>
      <w:r>
        <w:rPr>
          <w:rFonts w:hint="eastAsia" w:ascii="宋体" w:hAnsi="宋体"/>
          <w:szCs w:val="21"/>
        </w:rPr>
        <w:t>万元</w:t>
      </w:r>
      <w:r>
        <w:rPr>
          <w:rFonts w:ascii="宋体" w:hAnsi="宋体"/>
          <w:szCs w:val="21"/>
        </w:rPr>
        <w:t>/次的违约金，且乙方须无条件对甲方指定分包人提供总包管理及配合服务。</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.9</w:t>
      </w:r>
      <w:r>
        <w:rPr>
          <w:rFonts w:hint="eastAsia" w:ascii="宋体" w:hAnsi="宋体"/>
          <w:szCs w:val="21"/>
        </w:rPr>
        <w:t xml:space="preserve">  因乙方原因造成现场安全事故的或者乙方施工场地内发生人员伤亡的，概由乙方负责并承担全部损失及赔偿费用。如因乙方处理不当或不及时导致需由甲方代为处理的，则乙方除赔偿甲方全部损失外，乙方还应按本合同价款总额（暂定）的千分之五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.10</w:t>
      </w:r>
      <w:r>
        <w:rPr>
          <w:rFonts w:hint="eastAsia" w:ascii="宋体" w:hAnsi="宋体"/>
          <w:szCs w:val="21"/>
        </w:rPr>
        <w:t xml:space="preserve"> 若乙方未按本合同约定对销售配合工程的施工采取保护措施的，则乙方应按人民币</w:t>
      </w:r>
      <w:r>
        <w:rPr>
          <w:rFonts w:ascii="宋体" w:hAnsi="宋体"/>
          <w:szCs w:val="21"/>
        </w:rPr>
        <w:t>2</w:t>
      </w:r>
      <w:r>
        <w:rPr>
          <w:rFonts w:hint="eastAsia" w:ascii="宋体" w:hAnsi="宋体"/>
          <w:szCs w:val="21"/>
        </w:rPr>
        <w:t>万元</w:t>
      </w:r>
      <w:r>
        <w:rPr>
          <w:rFonts w:ascii="宋体" w:hAnsi="宋体"/>
          <w:szCs w:val="21"/>
        </w:rPr>
        <w:t>/次</w:t>
      </w:r>
      <w:r>
        <w:rPr>
          <w:rFonts w:hint="eastAsia" w:ascii="宋体" w:hAnsi="宋体"/>
          <w:szCs w:val="21"/>
        </w:rPr>
        <w:t>向甲方支付违约金，同时还应赔偿甲方由此蒙受的一切损失。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.11</w:t>
      </w:r>
      <w:r>
        <w:rPr>
          <w:rFonts w:hint="eastAsia" w:ascii="宋体" w:hAnsi="宋体"/>
          <w:szCs w:val="21"/>
        </w:rPr>
        <w:t>若乙方未能按</w:t>
      </w:r>
      <w:r>
        <w:rPr>
          <w:rFonts w:hint="eastAsia" w:ascii="宋体" w:hAnsi="宋体"/>
          <w:szCs w:val="21"/>
          <w:u w:val="single"/>
        </w:rPr>
        <w:t>附件四《施工现场安全文明管理规定》</w:t>
      </w:r>
      <w:r>
        <w:rPr>
          <w:rFonts w:hint="eastAsia" w:ascii="宋体" w:hAnsi="宋体"/>
          <w:szCs w:val="21"/>
        </w:rPr>
        <w:t>的要求施工，则乙方应按人民币</w:t>
      </w:r>
      <w:r>
        <w:rPr>
          <w:rFonts w:ascii="宋体" w:hAnsi="宋体"/>
          <w:szCs w:val="21"/>
        </w:rPr>
        <w:t>1</w:t>
      </w:r>
      <w:r>
        <w:rPr>
          <w:rFonts w:hint="eastAsia" w:ascii="宋体" w:hAnsi="宋体"/>
          <w:szCs w:val="21"/>
        </w:rPr>
        <w:t>万元</w:t>
      </w:r>
      <w:r>
        <w:rPr>
          <w:rFonts w:ascii="宋体" w:hAnsi="宋体"/>
          <w:szCs w:val="21"/>
        </w:rPr>
        <w:t>/次</w:t>
      </w:r>
      <w:r>
        <w:rPr>
          <w:rFonts w:hint="eastAsia" w:ascii="宋体" w:hAnsi="宋体"/>
          <w:szCs w:val="21"/>
        </w:rPr>
        <w:t>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.12</w:t>
      </w:r>
      <w:r>
        <w:rPr>
          <w:rFonts w:hint="eastAsia" w:ascii="宋体" w:hAnsi="宋体"/>
          <w:szCs w:val="21"/>
        </w:rPr>
        <w:t>乙方违反本合同约定逾期清场及逾期撤出工程或逾期将工程移交给甲方的，乙方应按每天人民币</w:t>
      </w:r>
      <w:r>
        <w:rPr>
          <w:rFonts w:ascii="宋体" w:hAnsi="宋体"/>
          <w:szCs w:val="21"/>
        </w:rPr>
        <w:t>5万元向甲方支付违约金，若前述延迟情形累计超过</w:t>
      </w:r>
      <w:r>
        <w:rPr>
          <w:rFonts w:hint="eastAsia" w:ascii="宋体" w:hAnsi="宋体"/>
          <w:szCs w:val="21"/>
          <w:u w:val="single"/>
        </w:rPr>
        <w:t>45</w:t>
      </w:r>
      <w:r>
        <w:rPr>
          <w:rFonts w:ascii="宋体" w:hAnsi="宋体"/>
          <w:szCs w:val="21"/>
          <w:u w:val="single"/>
        </w:rPr>
        <w:t>_</w:t>
      </w:r>
      <w:r>
        <w:rPr>
          <w:rFonts w:ascii="宋体" w:hAnsi="宋体"/>
          <w:szCs w:val="21"/>
        </w:rPr>
        <w:t>__天的，则甲方有权解除本合同且无需再行支付任何费用，此外乙方还应按</w:t>
      </w:r>
      <w:r>
        <w:rPr>
          <w:rFonts w:hint="eastAsia" w:ascii="宋体" w:hAnsi="宋体"/>
          <w:szCs w:val="21"/>
        </w:rPr>
        <w:t>本合同价款总额（暂定）的</w:t>
      </w:r>
      <w:r>
        <w:rPr>
          <w:rFonts w:ascii="宋体" w:hAnsi="宋体"/>
          <w:szCs w:val="21"/>
        </w:rPr>
        <w:t>10%向甲方支付违约金及赔偿甲方由此遭受的所有损失。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.13</w:t>
      </w:r>
      <w:r>
        <w:rPr>
          <w:rFonts w:hint="eastAsia" w:ascii="宋体" w:hAnsi="宋体"/>
          <w:szCs w:val="21"/>
        </w:rPr>
        <w:t xml:space="preserve"> 乙方在项目建设中必须严格按佛山市《关于全市征收新型墙体材料专项基金的通知》（佛府办[2011]188号）规定使用新型墙体材料且需无条件配合甲方办理新型墙体材料专项基金的退还，而不得增加任何相关费用；若乙方未按上述通知的规定要求使用新型墙体材料导致甲方缴纳的专项基金无法退还或无法全额退还的，未退还部分的专项基金由乙方承担，甲方有权从所需支付的工程进度款中直接予以扣除。</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4本合同约定的任何应由乙方承担的费用、管理费用、赔偿费及违约金等款项，甲方有权在任何一期工程款中直接予以扣除。</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5本合同及其附件之其他条款对违约责任另有明确约定，且对守约方更为有利的，守约方有权按对自己更为有利的条款约定追究违约方的违约责任。</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67、竣工结算与结算款</w:t>
      </w:r>
    </w:p>
    <w:p>
      <w:pPr>
        <w:pStyle w:val="334"/>
        <w:snapToGrid w:val="0"/>
        <w:spacing w:before="0" w:after="0"/>
        <w:ind w:left="840" w:right="0" w:hanging="840" w:hangingChars="400"/>
        <w:rPr>
          <w:rFonts w:ascii="宋体" w:hAnsi="宋体"/>
          <w:kern w:val="2"/>
          <w:sz w:val="21"/>
          <w:szCs w:val="21"/>
        </w:rPr>
      </w:pPr>
      <w:r>
        <w:rPr>
          <w:rFonts w:hint="eastAsia" w:ascii="宋体" w:hAnsi="宋体"/>
          <w:kern w:val="2"/>
          <w:sz w:val="21"/>
          <w:szCs w:val="21"/>
        </w:rPr>
        <w:t>67.1    结算的程序和时限：本合同通用条款第67条不予适用。</w:t>
      </w:r>
    </w:p>
    <w:p>
      <w:pPr>
        <w:adjustRightInd w:val="0"/>
        <w:snapToGrid w:val="0"/>
        <w:ind w:left="840" w:hanging="840" w:hangingChars="400"/>
        <w:jc w:val="left"/>
        <w:rPr>
          <w:rFonts w:ascii="宋体" w:hAnsi="宋体"/>
          <w:szCs w:val="21"/>
        </w:rPr>
      </w:pPr>
      <w:r>
        <w:rPr>
          <w:rFonts w:hint="eastAsia" w:ascii="宋体" w:hAnsi="宋体"/>
          <w:szCs w:val="21"/>
        </w:rPr>
        <w:t>67.8    约定结算特殊要求</w:t>
      </w:r>
    </w:p>
    <w:p>
      <w:pPr>
        <w:adjustRightInd w:val="0"/>
        <w:snapToGrid w:val="0"/>
        <w:ind w:left="840" w:hanging="840" w:hangingChars="400"/>
        <w:rPr>
          <w:rFonts w:ascii="宋体" w:hAnsi="宋体"/>
          <w:szCs w:val="21"/>
        </w:rPr>
      </w:pPr>
      <w:r>
        <w:rPr>
          <w:rFonts w:hint="eastAsia" w:ascii="宋体" w:hAnsi="宋体"/>
          <w:szCs w:val="21"/>
        </w:rPr>
        <w:t>67.8.</w:t>
      </w:r>
      <w:r>
        <w:rPr>
          <w:rFonts w:ascii="宋体" w:hAnsi="宋体"/>
          <w:szCs w:val="21"/>
        </w:rPr>
        <w:t>1</w:t>
      </w:r>
      <w:r>
        <w:rPr>
          <w:rFonts w:hint="eastAsia" w:ascii="宋体" w:hAnsi="宋体"/>
          <w:szCs w:val="21"/>
        </w:rPr>
        <w:t xml:space="preserve">  结算资料实行签收制度，乙方应在本合同竣工验收合格后</w:t>
      </w:r>
      <w:r>
        <w:rPr>
          <w:rFonts w:hint="eastAsia" w:ascii="宋体" w:hAnsi="宋体"/>
          <w:szCs w:val="21"/>
          <w:u w:val="single"/>
        </w:rPr>
        <w:t>_30_</w:t>
      </w:r>
      <w:r>
        <w:rPr>
          <w:rFonts w:hint="eastAsia" w:ascii="宋体" w:hAnsi="宋体"/>
          <w:szCs w:val="21"/>
        </w:rPr>
        <w:t>天内提交全部的工程结算资料给甲方。</w:t>
      </w:r>
    </w:p>
    <w:p>
      <w:pPr>
        <w:adjustRightInd w:val="0"/>
        <w:snapToGrid w:val="0"/>
        <w:ind w:left="840" w:hanging="840" w:hangingChars="400"/>
        <w:rPr>
          <w:rFonts w:ascii="宋体" w:hAnsi="宋体"/>
          <w:szCs w:val="21"/>
        </w:rPr>
      </w:pPr>
      <w:r>
        <w:rPr>
          <w:rFonts w:hint="eastAsia" w:ascii="宋体" w:hAnsi="宋体"/>
          <w:szCs w:val="21"/>
        </w:rPr>
        <w:t>67.8.2  乙方应保证递交结算资料的完备性，如有依据不充分或不清晰，视为乙方放弃此部分权利；甲方有权不接受乙方二次补充的结算资料或依据。</w:t>
      </w:r>
    </w:p>
    <w:p>
      <w:pPr>
        <w:adjustRightInd w:val="0"/>
        <w:snapToGrid w:val="0"/>
        <w:ind w:left="840" w:hanging="840" w:hangingChars="400"/>
        <w:rPr>
          <w:rFonts w:ascii="宋体" w:hAnsi="宋体"/>
          <w:szCs w:val="21"/>
        </w:rPr>
      </w:pPr>
      <w:r>
        <w:rPr>
          <w:rFonts w:hint="eastAsia" w:ascii="宋体" w:hAnsi="宋体"/>
          <w:szCs w:val="21"/>
        </w:rPr>
        <w:t>67.8.</w:t>
      </w:r>
      <w:r>
        <w:rPr>
          <w:rFonts w:ascii="宋体" w:hAnsi="宋体"/>
          <w:szCs w:val="21"/>
        </w:rPr>
        <w:t>3</w:t>
      </w:r>
      <w:r>
        <w:rPr>
          <w:rFonts w:hint="eastAsia" w:ascii="宋体" w:hAnsi="宋体"/>
          <w:szCs w:val="21"/>
        </w:rPr>
        <w:t xml:space="preserve">  乙方应保证递交结算资料的准确性。双方仅对其中甲方认为有疑问的部分进行核对调整，其余部分不再核对及调整。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.4</w:t>
      </w:r>
      <w:r>
        <w:rPr>
          <w:rFonts w:hint="eastAsia" w:ascii="宋体" w:hAnsi="宋体"/>
          <w:szCs w:val="21"/>
        </w:rPr>
        <w:t xml:space="preserve">  工程中发生的变更签证无论是否导致造价增减均需按合同附件约定的时间及时办理结算，逾期不办理则视为乙方自动放弃此部份权利。增加造价不再计取，减少造价按甲方单方核定价扣减。</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.5</w:t>
      </w:r>
      <w:r>
        <w:rPr>
          <w:rFonts w:hint="eastAsia" w:ascii="宋体" w:hAnsi="宋体"/>
          <w:szCs w:val="21"/>
        </w:rPr>
        <w:t xml:space="preserve">  甲方负责根据乙方提交的结算资料在3</w:t>
      </w:r>
      <w:r>
        <w:rPr>
          <w:rFonts w:ascii="宋体" w:hAnsi="宋体"/>
          <w:szCs w:val="21"/>
        </w:rPr>
        <w:t>个月内</w:t>
      </w:r>
      <w:r>
        <w:rPr>
          <w:rFonts w:hint="eastAsia" w:ascii="宋体" w:hAnsi="宋体"/>
          <w:szCs w:val="21"/>
        </w:rPr>
        <w:t>完成审核，并有权在审核过程中随时通知乙方对结算资料及数据予以解释及答疑。如乙方未按时提交或向甲方提供解释的，甲方有权自行或单方指定第三方结算机构编制工程结算书以直接确定结算金额，乙方必须无条件予以接受并不得提出任何异议。</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.6</w:t>
      </w:r>
      <w:r>
        <w:rPr>
          <w:rFonts w:hint="eastAsia" w:ascii="宋体" w:hAnsi="宋体"/>
          <w:szCs w:val="21"/>
        </w:rPr>
        <w:t xml:space="preserve">  若乙方对甲方结算结果有异议的，应在7天内提出书面异议，</w:t>
      </w:r>
      <w:r>
        <w:rPr>
          <w:rFonts w:hint="eastAsia" w:ascii="宋体" w:hAnsi="宋体"/>
          <w:snapToGrid w:val="0"/>
          <w:kern w:val="0"/>
          <w:szCs w:val="21"/>
        </w:rPr>
        <w:t>超过前述期限未提出异议，则视为乙方认同甲方的结算结果，甲方将直接据此办理工程价款支付。若乙方提出异议后双方协商不能达成一致的，甲乙双方一致同意提交至甲方指定的第三方结算机构处理，由此发生的所有费用均由乙方自行承担。双方一致确认，</w:t>
      </w:r>
      <w:r>
        <w:rPr>
          <w:rFonts w:ascii="宋体" w:hAnsi="宋体"/>
          <w:szCs w:val="21"/>
        </w:rPr>
        <w:t>第三方结算机构出具的结算结果</w:t>
      </w:r>
      <w:r>
        <w:rPr>
          <w:rFonts w:hint="eastAsia" w:ascii="宋体" w:hAnsi="宋体"/>
          <w:snapToGrid w:val="0"/>
          <w:kern w:val="0"/>
          <w:szCs w:val="21"/>
        </w:rPr>
        <w:t>为终局的，双方均应遵守且不得再行异议。</w:t>
      </w:r>
    </w:p>
    <w:p>
      <w:pPr>
        <w:snapToGrid w:val="0"/>
        <w:ind w:left="840" w:hanging="840" w:hangingChars="400"/>
        <w:rPr>
          <w:rFonts w:ascii="宋体" w:hAnsi="宋体"/>
          <w:snapToGrid w:val="0"/>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.7</w:t>
      </w:r>
      <w:r>
        <w:rPr>
          <w:rFonts w:hint="eastAsia" w:ascii="宋体" w:hAnsi="宋体"/>
          <w:snapToGrid w:val="0"/>
          <w:kern w:val="0"/>
          <w:szCs w:val="21"/>
        </w:rPr>
        <w:t>若乙方上报的结算价款超过工程竣工结算所确定的工程价款总额10%的，则甲方有权按超过部分金额的10%向乙方收取违约金。</w:t>
      </w:r>
    </w:p>
    <w:p>
      <w:pPr>
        <w:snapToGrid w:val="0"/>
        <w:ind w:left="840" w:hanging="840" w:hangingChars="400"/>
        <w:rPr>
          <w:rFonts w:ascii="宋体" w:hAnsi="宋体"/>
          <w:snapToGrid w:val="0"/>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.8</w:t>
      </w:r>
      <w:r>
        <w:rPr>
          <w:rFonts w:hint="eastAsia" w:ascii="宋体" w:hAnsi="宋体"/>
          <w:snapToGrid w:val="0"/>
          <w:kern w:val="0"/>
          <w:szCs w:val="21"/>
        </w:rPr>
        <w:t>结算过程中，乙方绘制竣工图不合甲方要求被退回修改的，修改次数超过3次的，每超过1次应向甲方支付人民币500元的违约金。</w:t>
      </w:r>
    </w:p>
    <w:p>
      <w:pPr>
        <w:snapToGrid w:val="0"/>
        <w:ind w:left="840" w:hanging="840" w:hangingChars="400"/>
        <w:rPr>
          <w:rFonts w:ascii="宋体" w:hAnsi="宋体"/>
          <w:snapToGrid w:val="0"/>
          <w:kern w:val="0"/>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.9</w:t>
      </w:r>
      <w:r>
        <w:rPr>
          <w:rFonts w:hint="eastAsia" w:ascii="宋体" w:hAnsi="宋体"/>
          <w:snapToGrid w:val="0"/>
          <w:kern w:val="0"/>
          <w:szCs w:val="21"/>
        </w:rPr>
        <w:t>乙方应按甲方规定的时间与甲方核对结算价款或工程进度款数据。若因乙方不配合导致工程价款支付时间延迟的，均由乙方自行承担相关后果。</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6</w:t>
      </w:r>
      <w:r>
        <w:rPr>
          <w:rFonts w:hint="eastAsia" w:ascii="宋体" w:hAnsi="宋体"/>
          <w:b/>
          <w:szCs w:val="21"/>
        </w:rPr>
        <w:t>8、质量保证金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 xml:space="preserve">.1 </w:t>
      </w:r>
      <w:r>
        <w:rPr>
          <w:rFonts w:hint="eastAsia" w:ascii="宋体" w:hAnsi="宋体"/>
          <w:szCs w:val="21"/>
        </w:rPr>
        <w:t xml:space="preserve">   质量保证金的用途及限制：以</w:t>
      </w:r>
      <w:r>
        <w:rPr>
          <w:rFonts w:hint="eastAsia" w:ascii="宋体" w:hAnsi="宋体"/>
          <w:szCs w:val="21"/>
          <w:u w:val="single"/>
        </w:rPr>
        <w:t>附件七《工程质量保修书》</w:t>
      </w:r>
      <w:r>
        <w:rPr>
          <w:rFonts w:hint="eastAsia" w:ascii="宋体" w:hAnsi="宋体"/>
          <w:szCs w:val="21"/>
        </w:rPr>
        <w:t>之约定为准。</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.2约定质量保证金：</w:t>
      </w:r>
      <w:r>
        <w:rPr>
          <w:rFonts w:hint="eastAsia" w:ascii="宋体" w:hAnsi="宋体"/>
          <w:szCs w:val="21"/>
        </w:rPr>
        <w:t>质量保证金为工程结算结果所确定的工程价款总额的3</w:t>
      </w:r>
      <w:r>
        <w:rPr>
          <w:rFonts w:ascii="宋体" w:hAnsi="宋体"/>
          <w:szCs w:val="21"/>
        </w:rPr>
        <w:t>%。</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.3质量保证金返还</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.3.1质量保修期：</w:t>
      </w:r>
      <w:r>
        <w:rPr>
          <w:rFonts w:hint="eastAsia" w:ascii="宋体" w:hAnsi="宋体"/>
          <w:szCs w:val="21"/>
        </w:rPr>
        <w:t>本工程质量保修期自本工程竣工验收合格之日起算，并按工程类型的不同分为：</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.3.1.1地基基础工程、主体结构工程为设计文件规定的合理使用年限；</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.3.1.2</w:t>
      </w:r>
      <w:r>
        <w:rPr>
          <w:rFonts w:hint="eastAsia" w:ascii="宋体" w:hAnsi="宋体"/>
          <w:szCs w:val="21"/>
        </w:rPr>
        <w:t>屋面防水工程、有防水要求的卫生间、房间和外墙面的防渗漏工程为</w:t>
      </w:r>
      <w:r>
        <w:rPr>
          <w:rFonts w:ascii="宋体" w:hAnsi="宋体"/>
          <w:szCs w:val="21"/>
        </w:rPr>
        <w:t>5年；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.3.1.3</w:t>
      </w:r>
      <w:r>
        <w:rPr>
          <w:rFonts w:hint="eastAsia" w:ascii="宋体" w:hAnsi="宋体"/>
          <w:szCs w:val="21"/>
        </w:rPr>
        <w:t>电气管线工程、给排水管道工程、设备安装工程为</w:t>
      </w:r>
      <w:r>
        <w:rPr>
          <w:rFonts w:ascii="宋体" w:hAnsi="宋体"/>
          <w:szCs w:val="21"/>
        </w:rPr>
        <w:t>2年；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.3.1.4</w:t>
      </w:r>
      <w:r>
        <w:rPr>
          <w:rFonts w:hint="eastAsia" w:ascii="宋体" w:hAnsi="宋体"/>
          <w:szCs w:val="21"/>
        </w:rPr>
        <w:t>供热、供冷系统工程为</w:t>
      </w:r>
      <w:r>
        <w:rPr>
          <w:rFonts w:ascii="宋体" w:hAnsi="宋体"/>
          <w:szCs w:val="21"/>
        </w:rPr>
        <w:t>2个采暖期、供冷期；</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.3.1.5</w:t>
      </w:r>
      <w:r>
        <w:rPr>
          <w:rFonts w:hint="eastAsia" w:ascii="宋体" w:hAnsi="宋体"/>
          <w:szCs w:val="21"/>
        </w:rPr>
        <w:t>装饰装修工程为</w:t>
      </w:r>
      <w:r>
        <w:rPr>
          <w:rFonts w:ascii="宋体" w:hAnsi="宋体"/>
          <w:szCs w:val="21"/>
        </w:rPr>
        <w:t>2年；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.3.1.6</w:t>
      </w:r>
      <w:r>
        <w:rPr>
          <w:rFonts w:hint="eastAsia" w:ascii="宋体" w:hAnsi="宋体"/>
          <w:szCs w:val="21"/>
        </w:rPr>
        <w:t>其他项目按建设部颁发的第</w:t>
      </w:r>
      <w:r>
        <w:rPr>
          <w:rFonts w:ascii="宋体" w:hAnsi="宋体"/>
          <w:szCs w:val="21"/>
        </w:rPr>
        <w:t>80号令《房屋建筑工程质量保修办法》执行。</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 xml:space="preserve">  返还方式</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1本工程竣工验收合格后</w:t>
      </w:r>
      <w:r>
        <w:rPr>
          <w:rFonts w:ascii="宋体" w:hAnsi="宋体"/>
          <w:szCs w:val="21"/>
        </w:rPr>
        <w:t>2年</w:t>
      </w:r>
      <w:r>
        <w:rPr>
          <w:rFonts w:hint="eastAsia" w:ascii="宋体" w:hAnsi="宋体"/>
          <w:szCs w:val="21"/>
        </w:rPr>
        <w:t>期满的</w:t>
      </w:r>
      <w:r>
        <w:rPr>
          <w:rFonts w:ascii="宋体" w:hAnsi="宋体"/>
          <w:szCs w:val="21"/>
        </w:rPr>
        <w:t>，若乙方无任何违约行为的，则甲方将在30个工作日内向乙方返还</w:t>
      </w:r>
      <w:r>
        <w:rPr>
          <w:rFonts w:hint="eastAsia" w:ascii="宋体" w:hAnsi="宋体"/>
          <w:szCs w:val="21"/>
        </w:rPr>
        <w:t>本工程质量保证金总额的6</w:t>
      </w:r>
      <w:r>
        <w:rPr>
          <w:rFonts w:ascii="宋体" w:hAnsi="宋体"/>
          <w:szCs w:val="21"/>
        </w:rPr>
        <w:t>0%</w:t>
      </w:r>
      <w:r>
        <w:rPr>
          <w:rFonts w:hint="eastAsia" w:ascii="宋体" w:hAnsi="宋体"/>
          <w:szCs w:val="21"/>
        </w:rPr>
        <w:t>。</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2本工程竣工验收合格后</w:t>
      </w:r>
      <w:r>
        <w:rPr>
          <w:rFonts w:ascii="宋体" w:hAnsi="宋体"/>
          <w:szCs w:val="21"/>
        </w:rPr>
        <w:t>5年</w:t>
      </w:r>
      <w:r>
        <w:rPr>
          <w:rFonts w:hint="eastAsia" w:ascii="宋体" w:hAnsi="宋体"/>
          <w:szCs w:val="21"/>
        </w:rPr>
        <w:t>期满的，若乙方无任何违约行为的，则甲方将在</w:t>
      </w:r>
      <w:r>
        <w:rPr>
          <w:rFonts w:ascii="宋体" w:hAnsi="宋体"/>
          <w:szCs w:val="21"/>
        </w:rPr>
        <w:t>30</w:t>
      </w:r>
      <w:r>
        <w:rPr>
          <w:rFonts w:hint="eastAsia" w:ascii="宋体" w:hAnsi="宋体"/>
          <w:szCs w:val="21"/>
        </w:rPr>
        <w:t>个工作日内向乙方返还本工程质量保证金总额的4</w:t>
      </w:r>
      <w:r>
        <w:rPr>
          <w:rFonts w:ascii="宋体" w:hAnsi="宋体"/>
          <w:szCs w:val="21"/>
        </w:rPr>
        <w:t>0%。</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.3.4对于乙方因质保责任而产生的任何费用，甲方均有权在工程</w:t>
      </w:r>
      <w:r>
        <w:rPr>
          <w:rFonts w:hint="eastAsia" w:ascii="宋体" w:hAnsi="宋体"/>
          <w:szCs w:val="21"/>
        </w:rPr>
        <w:t>质量保证金中予以扣除，甲方返还的质量保证金均不计含任何形式的利息。</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6</w:t>
      </w:r>
      <w:r>
        <w:rPr>
          <w:rFonts w:hint="eastAsia" w:ascii="宋体" w:hAnsi="宋体"/>
          <w:b/>
          <w:szCs w:val="21"/>
        </w:rPr>
        <w:t>9、合同争议</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9</w:t>
      </w:r>
      <w:r>
        <w:rPr>
          <w:rFonts w:ascii="宋体" w:hAnsi="宋体"/>
          <w:szCs w:val="21"/>
        </w:rPr>
        <w:t>.</w:t>
      </w:r>
      <w:r>
        <w:rPr>
          <w:rFonts w:hint="eastAsia" w:ascii="宋体" w:hAnsi="宋体"/>
          <w:szCs w:val="21"/>
        </w:rPr>
        <w:t xml:space="preserve">3    </w:t>
      </w:r>
      <w:r>
        <w:rPr>
          <w:rFonts w:ascii="宋体" w:hAnsi="宋体"/>
          <w:szCs w:val="21"/>
        </w:rPr>
        <w:t>解决争议方式：</w:t>
      </w:r>
      <w:r>
        <w:rPr>
          <w:rFonts w:hint="eastAsia" w:ascii="宋体" w:hAnsi="宋体"/>
          <w:szCs w:val="21"/>
        </w:rPr>
        <w:t>甲乙双方一致同意及确认，凡因本合同发生或与本合同相关的一切纠纷，双方均应友好协商解决。若协商不成的，双方同意将争议交由本合同签订地有管辖权的人民法院通过诉讼方式解决。</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70、合同解除</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    因乙方原因解除</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.1</w:t>
      </w:r>
      <w:r>
        <w:rPr>
          <w:rFonts w:hint="eastAsia" w:ascii="宋体" w:hAnsi="宋体"/>
          <w:szCs w:val="21"/>
        </w:rPr>
        <w:t xml:space="preserve">  未经甲方书面同意，乙方不得单方解除本合同。</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.2</w:t>
      </w:r>
      <w:r>
        <w:rPr>
          <w:rFonts w:hint="eastAsia" w:ascii="宋体" w:hAnsi="宋体"/>
          <w:szCs w:val="21"/>
        </w:rPr>
        <w:t xml:space="preserve">  因甲方根据市场需要、工程停建或工程设计修改导致相应承包工程项目不存在的，则甲方有权单方解除本合同，届时甲方应就乙方已实际完成部分的工程量并按本合同相关结算条款进行工程结算及付款。</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.3甲方依据本合同约定解除合同的，应以书面形式向乙方发出解除通知，并在发出通知前5天告知对方，通知到达对方时本合同解除。本合同解除后，不影响双方在本合同中约定的结算和清理条款的效力。</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 xml:space="preserve">4    </w:t>
      </w:r>
      <w:r>
        <w:rPr>
          <w:rFonts w:ascii="宋体" w:hAnsi="宋体"/>
          <w:szCs w:val="21"/>
        </w:rPr>
        <w:t>因甲方原因解除</w:t>
      </w:r>
      <w:r>
        <w:rPr>
          <w:rFonts w:hint="eastAsia" w:ascii="宋体" w:hAnsi="宋体"/>
          <w:szCs w:val="21"/>
        </w:rPr>
        <w:t>：本合同通用条款第</w:t>
      </w:r>
      <w:r>
        <w:rPr>
          <w:rFonts w:ascii="宋体" w:hAnsi="宋体"/>
          <w:szCs w:val="21"/>
        </w:rPr>
        <w:t>70.4款不予适用。</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 xml:space="preserve">6     </w:t>
      </w:r>
      <w:r>
        <w:rPr>
          <w:rFonts w:ascii="宋体" w:hAnsi="宋体"/>
          <w:szCs w:val="21"/>
        </w:rPr>
        <w:t>合同解除后双方的责任和义务</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6</w:t>
      </w:r>
      <w:r>
        <w:rPr>
          <w:rFonts w:ascii="宋体" w:hAnsi="宋体"/>
          <w:szCs w:val="21"/>
        </w:rPr>
        <w:t>.1</w:t>
      </w:r>
      <w:r>
        <w:rPr>
          <w:rFonts w:hint="eastAsia" w:ascii="宋体" w:hAnsi="宋体"/>
          <w:szCs w:val="21"/>
        </w:rPr>
        <w:t xml:space="preserve">  本合同解除后，乙方应妥善做好已完工程的保护和移交工作，按甲方的要求将自有材料设备和人员撤出施工场地；甲方为乙方撤出提供必要条件，已完工程价款在乙方根据甲方要求完全撤出施工场地且办理结算手续后支付。</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6</w:t>
      </w:r>
      <w:r>
        <w:rPr>
          <w:rFonts w:ascii="宋体" w:hAnsi="宋体"/>
          <w:szCs w:val="21"/>
        </w:rPr>
        <w:t>.2</w:t>
      </w:r>
      <w:r>
        <w:rPr>
          <w:rFonts w:hint="eastAsia" w:ascii="宋体" w:hAnsi="宋体"/>
          <w:szCs w:val="21"/>
        </w:rPr>
        <w:t xml:space="preserve">  乙方未完善移交手续擅自撤场的，应该赔偿由此给甲方造成的一切损失，此外对于乙方遗留的材料、设备，甲方有权自行处理。</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71</w:t>
      </w:r>
      <w:r>
        <w:rPr>
          <w:rFonts w:ascii="宋体" w:hAnsi="宋体"/>
          <w:b/>
          <w:szCs w:val="21"/>
        </w:rPr>
        <w:t>、</w:t>
      </w:r>
      <w:r>
        <w:rPr>
          <w:rFonts w:hint="eastAsia" w:ascii="宋体" w:hAnsi="宋体"/>
          <w:b/>
          <w:szCs w:val="21"/>
        </w:rPr>
        <w:t>合同解除的支付</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 xml:space="preserve">2    </w:t>
      </w:r>
      <w:r>
        <w:rPr>
          <w:rFonts w:ascii="宋体" w:hAnsi="宋体"/>
          <w:szCs w:val="21"/>
        </w:rPr>
        <w:t>不可抗力解除的支付：本合同通用条款第71.2款不予适用。</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 xml:space="preserve">3    </w:t>
      </w:r>
      <w:r>
        <w:rPr>
          <w:rFonts w:ascii="宋体" w:hAnsi="宋体"/>
          <w:szCs w:val="21"/>
        </w:rPr>
        <w:t>因乙方原因解除的支付：本合同通用条款第71.3</w:t>
      </w:r>
      <w:r>
        <w:rPr>
          <w:rFonts w:hint="eastAsia" w:ascii="宋体" w:hAnsi="宋体"/>
          <w:szCs w:val="21"/>
        </w:rPr>
        <w:t>款不予适用。</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4    因甲方原因解除的支付：本合同通用条款第</w:t>
      </w:r>
      <w:r>
        <w:rPr>
          <w:rFonts w:ascii="宋体" w:hAnsi="宋体"/>
          <w:szCs w:val="21"/>
        </w:rPr>
        <w:t>71.4款不予适用。</w:t>
      </w:r>
    </w:p>
    <w:p>
      <w:pPr>
        <w:pStyle w:val="42"/>
        <w:adjustRightInd w:val="0"/>
        <w:snapToGrid w:val="0"/>
        <w:ind w:left="840" w:hanging="840" w:hangingChars="400"/>
        <w:rPr>
          <w:rFonts w:hAnsi="宋体"/>
          <w:szCs w:val="21"/>
        </w:rPr>
      </w:pPr>
    </w:p>
    <w:p>
      <w:pPr>
        <w:adjustRightInd w:val="0"/>
        <w:snapToGrid w:val="0"/>
        <w:ind w:left="843" w:hanging="840" w:hangingChars="400"/>
        <w:rPr>
          <w:rFonts w:ascii="宋体" w:hAnsi="宋体"/>
          <w:b/>
          <w:szCs w:val="21"/>
        </w:rPr>
      </w:pPr>
      <w:r>
        <w:rPr>
          <w:rFonts w:hint="eastAsia" w:ascii="宋体" w:hAnsi="宋体"/>
          <w:b/>
          <w:szCs w:val="21"/>
        </w:rPr>
        <w:t>74、保密要求</w:t>
      </w:r>
    </w:p>
    <w:p>
      <w:pPr>
        <w:adjustRightInd w:val="0"/>
        <w:snapToGrid w:val="0"/>
        <w:ind w:left="840" w:hanging="840" w:hangingChars="400"/>
        <w:rPr>
          <w:rFonts w:ascii="宋体" w:hAnsi="宋体"/>
          <w:szCs w:val="21"/>
        </w:rPr>
      </w:pPr>
      <w:r>
        <w:rPr>
          <w:rFonts w:hint="eastAsia" w:ascii="宋体" w:hAnsi="宋体"/>
          <w:szCs w:val="21"/>
        </w:rPr>
        <w:t>74</w:t>
      </w:r>
      <w:r>
        <w:rPr>
          <w:rFonts w:ascii="宋体" w:hAnsi="宋体"/>
          <w:szCs w:val="21"/>
        </w:rPr>
        <w:t>.1</w:t>
      </w:r>
      <w:r>
        <w:rPr>
          <w:rFonts w:hint="eastAsia" w:ascii="宋体" w:hAnsi="宋体"/>
          <w:szCs w:val="21"/>
        </w:rPr>
        <w:t xml:space="preserve">    提供保密信息和履行保密义务：除按本合同通用条款第</w:t>
      </w:r>
      <w:r>
        <w:rPr>
          <w:rFonts w:ascii="宋体" w:hAnsi="宋体"/>
          <w:szCs w:val="21"/>
        </w:rPr>
        <w:t>74.1款约定执行</w:t>
      </w:r>
      <w:r>
        <w:rPr>
          <w:rFonts w:hint="eastAsia" w:ascii="宋体" w:hAnsi="宋体"/>
          <w:szCs w:val="21"/>
        </w:rPr>
        <w:t>外，还必须按甲方有关要求执行。</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75</w:t>
      </w:r>
      <w:r>
        <w:rPr>
          <w:rFonts w:ascii="宋体" w:hAnsi="宋体"/>
          <w:b/>
          <w:szCs w:val="21"/>
        </w:rPr>
        <w:t>、廉政建设</w:t>
      </w:r>
    </w:p>
    <w:p>
      <w:pPr>
        <w:adjustRightInd w:val="0"/>
        <w:snapToGrid w:val="0"/>
        <w:ind w:left="840" w:hanging="840" w:hangingChars="400"/>
        <w:rPr>
          <w:rFonts w:ascii="宋体" w:hAnsi="宋体"/>
          <w:szCs w:val="21"/>
        </w:rPr>
      </w:pPr>
      <w:r>
        <w:rPr>
          <w:rFonts w:hint="eastAsia" w:ascii="宋体" w:hAnsi="宋体"/>
          <w:szCs w:val="21"/>
        </w:rPr>
        <w:t>75</w:t>
      </w:r>
      <w:r>
        <w:rPr>
          <w:rFonts w:ascii="宋体" w:hAnsi="宋体"/>
          <w:szCs w:val="21"/>
        </w:rPr>
        <w:t>.1</w:t>
      </w:r>
      <w:r>
        <w:rPr>
          <w:rFonts w:hint="eastAsia" w:ascii="宋体" w:hAnsi="宋体"/>
          <w:szCs w:val="21"/>
        </w:rPr>
        <w:t xml:space="preserve">    廉政建设：</w:t>
      </w:r>
      <w:r>
        <w:rPr>
          <w:rFonts w:ascii="宋体" w:hAnsi="宋体"/>
          <w:szCs w:val="21"/>
        </w:rPr>
        <w:t>甲乙双方约定的廉政建设相关内容详见本合同</w:t>
      </w:r>
      <w:r>
        <w:rPr>
          <w:rFonts w:ascii="宋体" w:hAnsi="宋体"/>
          <w:szCs w:val="21"/>
          <w:u w:val="single"/>
        </w:rPr>
        <w:t>附件</w:t>
      </w:r>
      <w:r>
        <w:rPr>
          <w:rFonts w:hint="eastAsia" w:ascii="宋体" w:hAnsi="宋体"/>
          <w:szCs w:val="21"/>
          <w:u w:val="single"/>
        </w:rPr>
        <w:t>八</w:t>
      </w:r>
      <w:r>
        <w:rPr>
          <w:rFonts w:ascii="宋体" w:hAnsi="宋体"/>
          <w:szCs w:val="21"/>
          <w:u w:val="single"/>
        </w:rPr>
        <w:t>《廉政合同》</w:t>
      </w:r>
      <w:r>
        <w:rPr>
          <w:rFonts w:ascii="宋体" w:hAnsi="宋体"/>
          <w:szCs w:val="21"/>
        </w:rPr>
        <w:t>。</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7</w:t>
      </w:r>
      <w:r>
        <w:rPr>
          <w:rFonts w:hint="eastAsia" w:ascii="宋体" w:hAnsi="宋体"/>
          <w:b/>
          <w:szCs w:val="21"/>
        </w:rPr>
        <w:t>6、合同份数</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 xml:space="preserve">.1  </w:t>
      </w:r>
      <w:r>
        <w:rPr>
          <w:rFonts w:hint="eastAsia" w:ascii="宋体" w:hAnsi="宋体"/>
          <w:szCs w:val="21"/>
        </w:rPr>
        <w:t xml:space="preserve">  约定提供合同文本</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.1.1</w:t>
      </w:r>
      <w:r>
        <w:rPr>
          <w:rFonts w:hint="eastAsia" w:ascii="宋体" w:hAnsi="宋体"/>
          <w:szCs w:val="21"/>
        </w:rPr>
        <w:t xml:space="preserve">  由乙方按甲方要求提供。</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.1.2 本合同未尽事宜，由双方协商一致，另</w:t>
      </w:r>
      <w:r>
        <w:rPr>
          <w:rFonts w:hint="eastAsia" w:ascii="宋体" w:hAnsi="宋体"/>
          <w:szCs w:val="21"/>
        </w:rPr>
        <w:t>行</w:t>
      </w:r>
      <w:r>
        <w:rPr>
          <w:rFonts w:ascii="宋体" w:hAnsi="宋体"/>
          <w:szCs w:val="21"/>
        </w:rPr>
        <w:t>签订</w:t>
      </w:r>
      <w:r>
        <w:rPr>
          <w:rFonts w:hint="eastAsia" w:ascii="宋体" w:hAnsi="宋体"/>
          <w:szCs w:val="21"/>
        </w:rPr>
        <w:t>书面</w:t>
      </w:r>
      <w:r>
        <w:rPr>
          <w:rFonts w:ascii="宋体" w:hAnsi="宋体"/>
          <w:szCs w:val="21"/>
        </w:rPr>
        <w:t>补充协议</w:t>
      </w:r>
      <w:r>
        <w:rPr>
          <w:rFonts w:hint="eastAsia" w:ascii="宋体" w:hAnsi="宋体"/>
          <w:szCs w:val="21"/>
        </w:rPr>
        <w:t>。</w:t>
      </w:r>
      <w:r>
        <w:rPr>
          <w:rFonts w:ascii="宋体" w:hAnsi="宋体"/>
          <w:szCs w:val="21"/>
        </w:rPr>
        <w:t>本合同</w:t>
      </w:r>
      <w:r>
        <w:rPr>
          <w:rFonts w:hint="eastAsia" w:ascii="宋体" w:hAnsi="宋体"/>
          <w:szCs w:val="21"/>
        </w:rPr>
        <w:t>内容</w:t>
      </w:r>
      <w:r>
        <w:rPr>
          <w:rFonts w:ascii="宋体" w:hAnsi="宋体"/>
          <w:szCs w:val="21"/>
        </w:rPr>
        <w:t>与补充协议</w:t>
      </w:r>
      <w:r>
        <w:rPr>
          <w:rFonts w:hint="eastAsia" w:ascii="宋体" w:hAnsi="宋体"/>
          <w:szCs w:val="21"/>
        </w:rPr>
        <w:t>内容约定不</w:t>
      </w:r>
      <w:r>
        <w:rPr>
          <w:rFonts w:ascii="宋体" w:hAnsi="宋体"/>
          <w:szCs w:val="21"/>
        </w:rPr>
        <w:t>一致的，以补充协议</w:t>
      </w:r>
      <w:r>
        <w:rPr>
          <w:rFonts w:hint="eastAsia" w:ascii="宋体" w:hAnsi="宋体"/>
          <w:szCs w:val="21"/>
        </w:rPr>
        <w:t>约定</w:t>
      </w:r>
      <w:r>
        <w:rPr>
          <w:rFonts w:ascii="宋体" w:hAnsi="宋体"/>
          <w:szCs w:val="21"/>
        </w:rPr>
        <w:t>为准。</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.2</w:t>
      </w:r>
      <w:r>
        <w:rPr>
          <w:rFonts w:hint="eastAsia" w:ascii="宋体" w:hAnsi="宋体"/>
          <w:szCs w:val="21"/>
        </w:rPr>
        <w:t xml:space="preserve">    正本效力：本合同正本一式贰份，甲乙双方各壹份。</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.3</w:t>
      </w:r>
      <w:r>
        <w:rPr>
          <w:rFonts w:hint="eastAsia" w:ascii="宋体" w:hAnsi="宋体"/>
          <w:szCs w:val="21"/>
        </w:rPr>
        <w:t xml:space="preserve">    副本效力：本合同副本一式捌份，甲乙双方各肆份。</w:t>
      </w:r>
    </w:p>
    <w:p>
      <w:pPr>
        <w:adjustRightInd w:val="0"/>
        <w:snapToGrid w:val="0"/>
        <w:rPr>
          <w:rFonts w:ascii="宋体" w:hAnsi="宋体"/>
          <w:szCs w:val="21"/>
        </w:rPr>
      </w:pPr>
    </w:p>
    <w:p>
      <w:pPr>
        <w:jc w:val="center"/>
        <w:rPr>
          <w:rFonts w:eastAsia="黑体"/>
          <w:sz w:val="52"/>
        </w:rPr>
      </w:pPr>
    </w:p>
    <w:p>
      <w:pPr>
        <w:jc w:val="center"/>
        <w:rPr>
          <w:rFonts w:eastAsia="黑体"/>
          <w:sz w:val="36"/>
          <w:szCs w:val="36"/>
        </w:rPr>
        <w:sectPr>
          <w:footerReference r:id="rId11" w:type="first"/>
          <w:pgSz w:w="11906" w:h="16838"/>
          <w:pgMar w:top="1440" w:right="1797" w:bottom="1440" w:left="1797" w:header="851" w:footer="992" w:gutter="0"/>
          <w:cols w:space="720" w:num="1"/>
          <w:titlePg/>
          <w:docGrid w:type="linesAndChars" w:linePitch="312" w:charSpace="0"/>
        </w:sectPr>
      </w:pPr>
      <w:bookmarkStart w:id="107" w:name="_Toc244677378"/>
      <w:bookmarkStart w:id="108" w:name="_Toc244509510"/>
      <w:bookmarkStart w:id="109" w:name="_Toc246901723"/>
    </w:p>
    <w:p>
      <w:pPr>
        <w:jc w:val="center"/>
        <w:rPr>
          <w:rFonts w:eastAsia="黑体"/>
          <w:sz w:val="36"/>
          <w:szCs w:val="36"/>
        </w:rPr>
      </w:pPr>
      <w:r>
        <w:rPr>
          <w:rFonts w:hint="eastAsia" w:eastAsia="黑体"/>
          <w:sz w:val="36"/>
          <w:szCs w:val="36"/>
        </w:rPr>
        <w:t>第四部分附件与格式</w:t>
      </w:r>
      <w:bookmarkEnd w:id="107"/>
      <w:bookmarkEnd w:id="108"/>
      <w:bookmarkEnd w:id="109"/>
    </w:p>
    <w:p>
      <w:pPr>
        <w:jc w:val="center"/>
        <w:rPr>
          <w:rFonts w:eastAsia="黑体"/>
          <w:sz w:val="52"/>
        </w:rPr>
      </w:pPr>
    </w:p>
    <w:p>
      <w:pPr>
        <w:jc w:val="center"/>
        <w:rPr>
          <w:rFonts w:eastAsia="黑体"/>
          <w:sz w:val="52"/>
        </w:rPr>
      </w:pPr>
    </w:p>
    <w:p>
      <w:pPr>
        <w:tabs>
          <w:tab w:val="left" w:pos="525"/>
          <w:tab w:val="left" w:pos="1155"/>
        </w:tabs>
        <w:adjustRightInd w:val="0"/>
        <w:snapToGrid w:val="0"/>
        <w:rPr>
          <w:b/>
          <w:sz w:val="24"/>
        </w:rPr>
        <w:sectPr>
          <w:headerReference r:id="rId12" w:type="first"/>
          <w:footerReference r:id="rId13" w:type="first"/>
          <w:pgSz w:w="11906" w:h="16838"/>
          <w:pgMar w:top="1440" w:right="1797" w:bottom="1440" w:left="1797" w:header="851" w:footer="992" w:gutter="0"/>
          <w:cols w:space="720" w:num="1"/>
          <w:titlePg/>
          <w:docGrid w:type="linesAndChars" w:linePitch="312" w:charSpace="0"/>
        </w:sectPr>
      </w:pPr>
      <w:bookmarkStart w:id="110" w:name="_Toc161658998"/>
      <w:bookmarkStart w:id="111" w:name="_Hlt118693867"/>
      <w:bookmarkStart w:id="112" w:name="_Toc118749805"/>
      <w:bookmarkStart w:id="113" w:name="_Toc130366211"/>
      <w:bookmarkStart w:id="114" w:name="_Toc162259307"/>
      <w:bookmarkStart w:id="115" w:name="_Hlt118748122"/>
      <w:bookmarkStart w:id="116" w:name="_Toc162174252"/>
      <w:bookmarkStart w:id="117" w:name="_Toc165013905"/>
    </w:p>
    <w:bookmarkEnd w:id="90"/>
    <w:bookmarkEnd w:id="91"/>
    <w:bookmarkEnd w:id="92"/>
    <w:bookmarkEnd w:id="110"/>
    <w:bookmarkEnd w:id="111"/>
    <w:bookmarkEnd w:id="112"/>
    <w:bookmarkEnd w:id="113"/>
    <w:bookmarkEnd w:id="114"/>
    <w:bookmarkEnd w:id="115"/>
    <w:bookmarkEnd w:id="116"/>
    <w:bookmarkEnd w:id="117"/>
    <w:p>
      <w:pPr>
        <w:tabs>
          <w:tab w:val="left" w:pos="525"/>
          <w:tab w:val="left" w:pos="1155"/>
        </w:tabs>
        <w:adjustRightInd w:val="0"/>
        <w:snapToGrid w:val="0"/>
        <w:rPr>
          <w:b/>
          <w:sz w:val="24"/>
        </w:rPr>
      </w:pPr>
      <w:r>
        <w:rPr>
          <w:rFonts w:hint="eastAsia"/>
          <w:b/>
          <w:sz w:val="24"/>
        </w:rPr>
        <w:t>附件二</w:t>
      </w:r>
    </w:p>
    <w:p>
      <w:pPr>
        <w:spacing w:line="360" w:lineRule="auto"/>
        <w:jc w:val="center"/>
        <w:rPr>
          <w:rFonts w:ascii="黑体" w:eastAsia="黑体"/>
          <w:b/>
          <w:sz w:val="28"/>
          <w:szCs w:val="28"/>
        </w:rPr>
      </w:pPr>
      <w:r>
        <w:rPr>
          <w:rFonts w:hint="eastAsia" w:ascii="黑体" w:eastAsia="黑体"/>
          <w:b/>
          <w:sz w:val="28"/>
          <w:szCs w:val="28"/>
        </w:rPr>
        <w:t xml:space="preserve"> 施工总承包单位</w:t>
      </w:r>
      <w:bookmarkStart w:id="118" w:name="_Hlt118693869"/>
      <w:bookmarkEnd w:id="118"/>
      <w:r>
        <w:rPr>
          <w:rFonts w:hint="eastAsia" w:ascii="黑体" w:eastAsia="黑体"/>
          <w:b/>
          <w:sz w:val="28"/>
          <w:szCs w:val="28"/>
        </w:rPr>
        <w:t>为各专业承包商所提供的配合服务及其责任</w:t>
      </w:r>
    </w:p>
    <w:p>
      <w:pPr>
        <w:adjustRightInd w:val="0"/>
        <w:snapToGrid w:val="0"/>
        <w:jc w:val="left"/>
        <w:rPr>
          <w:rFonts w:ascii="宋体" w:hAnsi="宋体"/>
          <w:b/>
          <w:bCs/>
          <w:szCs w:val="21"/>
        </w:rPr>
      </w:pPr>
      <w:r>
        <w:rPr>
          <w:rFonts w:hint="eastAsia" w:ascii="宋体" w:hAnsi="宋体"/>
          <w:b/>
          <w:bCs/>
          <w:szCs w:val="21"/>
        </w:rPr>
        <w:t>一、总则</w:t>
      </w:r>
    </w:p>
    <w:p>
      <w:pPr>
        <w:adjustRightInd w:val="0"/>
        <w:snapToGrid w:val="0"/>
        <w:jc w:val="left"/>
        <w:rPr>
          <w:rFonts w:ascii="宋体" w:hAnsi="宋体"/>
          <w:bCs/>
          <w:szCs w:val="21"/>
        </w:rPr>
      </w:pPr>
      <w:r>
        <w:rPr>
          <w:rFonts w:hint="eastAsia" w:ascii="宋体" w:hAnsi="宋体"/>
          <w:szCs w:val="21"/>
          <w:u w:val="single"/>
          <w:lang w:eastAsia="zh-CN"/>
        </w:rPr>
        <w:t>上林观湖苑幼儿园（第二次招标）</w:t>
      </w:r>
      <w:r>
        <w:rPr>
          <w:rFonts w:hint="eastAsia" w:ascii="宋体" w:hAnsi="宋体"/>
          <w:szCs w:val="21"/>
        </w:rPr>
        <w:t>工程施工总承包</w:t>
      </w:r>
      <w:r>
        <w:rPr>
          <w:rFonts w:hint="eastAsia" w:ascii="宋体" w:hAnsi="宋体"/>
          <w:bCs/>
          <w:szCs w:val="21"/>
        </w:rPr>
        <w:t>单位（工程总承包商，简称总包），作为本项目的总包责任主体，按本工程所签订的承包合同约定，将在工程中承担为各专业承包商（指建设单位指定分包、发包的承包商）提供相关配合与服务；即实施工程创优规划与配合、进度协调配合、安全文明施工现场管理、竣工资料收集归档管理等相关工作，承担合同约定的责任并接受因违反约定责任产生的相应处罚。其主要工作及责任（但不限于）如下：</w:t>
      </w:r>
    </w:p>
    <w:p>
      <w:pPr>
        <w:tabs>
          <w:tab w:val="left" w:pos="0"/>
          <w:tab w:val="left" w:pos="360"/>
        </w:tabs>
        <w:adjustRightInd w:val="0"/>
        <w:snapToGrid w:val="0"/>
        <w:jc w:val="left"/>
        <w:rPr>
          <w:rFonts w:ascii="宋体" w:hAnsi="宋体"/>
          <w:bCs/>
          <w:szCs w:val="21"/>
        </w:rPr>
      </w:pPr>
      <w:r>
        <w:rPr>
          <w:rFonts w:hint="eastAsia" w:ascii="宋体" w:hAnsi="宋体"/>
          <w:bCs/>
          <w:szCs w:val="21"/>
        </w:rPr>
        <w:t>1、总包配合服务内容包括（但不限于）：</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对整个工程施工现场安全文明施工管理具有全部的管理责任；</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编制整个项目施工总进度计划，确保工程按经批准的进度计划合理有序地进行和按时完成；</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审查和协调其他承包商所负责的工程进度计划，确保其他承包商有充分合理的时间来完成其所承担的工程；</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负责因协调工作失误所导致的修整工作，赔偿建设单位因此而蒙受的费用及支出；</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负责总体质量创优目标和计划的编制，以及协调其他专业承包单位的创优工作，确保质量创优目标的实现；</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参与所有工程的验收工作（包括属于其他承包商所负责的工程）；</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竣工资料的汇总及整理工作（包括属于其他承包商所负责的工程），确保工程资料符合备案要求。</w:t>
      </w:r>
    </w:p>
    <w:p>
      <w:pPr>
        <w:tabs>
          <w:tab w:val="left" w:pos="0"/>
          <w:tab w:val="left" w:pos="360"/>
        </w:tabs>
        <w:adjustRightInd w:val="0"/>
        <w:snapToGrid w:val="0"/>
        <w:jc w:val="left"/>
        <w:rPr>
          <w:rFonts w:ascii="宋体" w:hAnsi="宋体"/>
          <w:bCs/>
          <w:szCs w:val="21"/>
        </w:rPr>
      </w:pPr>
      <w:r>
        <w:rPr>
          <w:rFonts w:hint="eastAsia" w:ascii="宋体" w:hAnsi="宋体"/>
          <w:bCs/>
          <w:szCs w:val="21"/>
        </w:rPr>
        <w:t>2、配合协调工作内容包括（但不限于）：</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按建设部《建设工程施工现场管理规定》及《佛山市建设工程施工现场文明施工管理办法》的要求进行地面硬化，周边设置排水沟和整个场地的排污排水系统相连接；</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提供施工临设规划及其用地、施工场地，施工场地内提供满足各专业工程所需的工程水电接驳点；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对整个工程施工现场各洞口及“临边”提供有效保护，分包单位的结构上的孔洞或临边除外；</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提供中央废物收集处，并由中央废物收集处移走垃圾；</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重整因进行市政配套槽沟开挖工程，受影响的红线外车道及人行道，费用另计；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各专业分包商按统一标准兴建办公室、工场、仓库及人工宿舍。</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维护及拆卸包括建设单位、监理单位、项目管理单位的现场办公室及宿舍等；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提供、维护和管理临时道路及停车区、停车棚。</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提供场地已有的且按总包单位进度计划尚未退场的垂直提升设备（钢结构工程除外）及材料运输电梯及外墙脚手架；</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提供其他承包商使用本属于土建承包商，在施工场地上架设而仍未拆除的爬梯、内脚手架等；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提供项目建设单位转交的，本工程控制所需之标高及定位的基准点、线给其他承包商作为施工依据来进行自己的定位；</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在混凝土结构上按施工图预留孔洞，包括空调预留管、烟井、电梯按钮等（属其他特殊专业承包商范围内的孔洞，由专业承包商负责留设）；</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负责施工图中已标注的混凝土结构内的预埋件的安装（属其他特殊专业承包商范围内的预埋件，由专业承包商负责施工），其余的由专业分包单位负责定位和安装，总包单位负责配合。</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提供各专业工程所需的非结构上建筑服务（例：设备基础、槽沟开挖及砌筑等，其费用由其他专业承包单位支付）；</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负责按图纸尺寸且工期在总进度计划内的乙方的凿墙开洞后的一次性修补。</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提供其他分包商所需以保障场地安全的扶手、围网、围板；</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提供临时用水、临时照明及电力的供应接驳点至指定位置点并负责日常维护，并按规定标准收取水、电费；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免费提供所有进出工地的车辆轮胎清洗设施及清洗服务；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提供公用洗手间及其它卫生设备；</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总包单位及专业分包商需对各自的成品、半成品进行保护、清洁以便工程竣工验收交付使用方。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负责工地范围内的保安；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在工程交付建设单位前，总包单位和专业分包商应作好各自的剩余材料、建筑垃圾的清理工作，建筑垃圾必须及时清运至总包单位指定的中央废物收集处，并由中央废物收集处移走。</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为上级有关部门来工地现场的工作考察，提供相关接待服务；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为本工程建设期内提供气象信息通报服务。</w:t>
      </w:r>
    </w:p>
    <w:p>
      <w:pPr>
        <w:tabs>
          <w:tab w:val="left" w:pos="2700"/>
        </w:tabs>
        <w:adjustRightInd w:val="0"/>
        <w:snapToGrid w:val="0"/>
        <w:ind w:left="720"/>
        <w:jc w:val="left"/>
        <w:rPr>
          <w:rFonts w:ascii="宋体" w:hAnsi="宋体"/>
          <w:bCs/>
          <w:szCs w:val="21"/>
        </w:rPr>
      </w:pPr>
    </w:p>
    <w:p>
      <w:pPr>
        <w:adjustRightInd w:val="0"/>
        <w:snapToGrid w:val="0"/>
        <w:jc w:val="left"/>
        <w:rPr>
          <w:rFonts w:ascii="宋体" w:hAnsi="宋体"/>
          <w:b/>
          <w:bCs/>
          <w:szCs w:val="21"/>
        </w:rPr>
      </w:pPr>
      <w:r>
        <w:rPr>
          <w:rFonts w:hint="eastAsia" w:ascii="宋体" w:hAnsi="宋体"/>
          <w:b/>
          <w:bCs/>
          <w:szCs w:val="21"/>
        </w:rPr>
        <w:t>二、为各专业承包商提供的其他配合服务及责任</w:t>
      </w:r>
    </w:p>
    <w:p>
      <w:pPr>
        <w:tabs>
          <w:tab w:val="left" w:pos="0"/>
          <w:tab w:val="left" w:pos="360"/>
        </w:tabs>
        <w:adjustRightInd w:val="0"/>
        <w:snapToGrid w:val="0"/>
        <w:ind w:firstLine="105" w:firstLineChars="50"/>
        <w:jc w:val="left"/>
        <w:rPr>
          <w:rFonts w:ascii="宋体" w:hAnsi="宋体"/>
          <w:bCs/>
          <w:szCs w:val="21"/>
        </w:rPr>
      </w:pPr>
      <w:r>
        <w:rPr>
          <w:rFonts w:hint="eastAsia" w:ascii="宋体" w:hAnsi="宋体"/>
          <w:bCs/>
          <w:szCs w:val="21"/>
        </w:rPr>
        <w:t>1、为建设单位指定专业承包商提供的配合服务及责任</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除上述公用配合与服务的提供外，总包配合方还需为建设单位指定专业工程承包商，提供下述配合与服务：</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提供材料装卸、堆放的场地；</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提供安全文明施工、工程进度控制、工程竣工资料整理方面的指导与配合服务；</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提供可供本专业承包商所需的：办公用房场地、仓库及材料堆放场地、工程现场试验用房场地。</w:t>
      </w:r>
    </w:p>
    <w:p>
      <w:pPr>
        <w:adjustRightInd w:val="0"/>
        <w:snapToGrid w:val="0"/>
        <w:ind w:left="660"/>
        <w:jc w:val="left"/>
        <w:rPr>
          <w:rFonts w:ascii="宋体" w:hAnsi="宋体"/>
          <w:bCs/>
          <w:szCs w:val="21"/>
        </w:rPr>
      </w:pPr>
    </w:p>
    <w:p>
      <w:pPr>
        <w:adjustRightInd w:val="0"/>
        <w:snapToGrid w:val="0"/>
        <w:jc w:val="left"/>
        <w:rPr>
          <w:rFonts w:ascii="宋体" w:hAnsi="宋体"/>
          <w:b/>
          <w:bCs/>
          <w:szCs w:val="21"/>
        </w:rPr>
      </w:pPr>
      <w:r>
        <w:rPr>
          <w:rFonts w:hint="eastAsia" w:ascii="宋体" w:hAnsi="宋体"/>
          <w:b/>
          <w:bCs/>
          <w:szCs w:val="21"/>
        </w:rPr>
        <w:t>三、特别说明：</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总包为各专业承包商所提供的用房、场地等，因可实施流水作业，故可与总包配合方共用，不必另行配置；</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当出现由于总包配合方的服务不到位，而导致违约情况时，总包需承担相应的责任，同时还将接受合同所约定的相应处罚；</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总包现场所有设备的拆除，均需经过监理工程师批准后方能实施，否则视为违约。</w:t>
      </w:r>
    </w:p>
    <w:p>
      <w:pPr>
        <w:spacing w:line="360" w:lineRule="auto"/>
        <w:rPr>
          <w:sz w:val="24"/>
        </w:rPr>
      </w:pPr>
    </w:p>
    <w:p>
      <w:pPr>
        <w:tabs>
          <w:tab w:val="left" w:pos="6645"/>
        </w:tabs>
        <w:spacing w:beforeLines="50" w:afterLines="50"/>
        <w:ind w:right="-50" w:rightChars="-24"/>
        <w:jc w:val="left"/>
        <w:rPr>
          <w:rFonts w:ascii="宋体" w:hAnsi="宋体"/>
          <w:szCs w:val="21"/>
        </w:rPr>
      </w:pPr>
    </w:p>
    <w:p>
      <w:pPr>
        <w:tabs>
          <w:tab w:val="left" w:pos="6645"/>
        </w:tabs>
        <w:spacing w:beforeLines="50" w:afterLines="50"/>
        <w:ind w:right="-50" w:rightChars="-24"/>
        <w:jc w:val="left"/>
        <w:rPr>
          <w:rFonts w:ascii="宋体" w:hAnsi="宋体"/>
          <w:b/>
          <w:szCs w:val="21"/>
        </w:rPr>
      </w:pPr>
      <w:r>
        <w:rPr>
          <w:rFonts w:hint="eastAsia" w:ascii="宋体" w:hAnsi="宋体"/>
          <w:b/>
          <w:szCs w:val="21"/>
        </w:rPr>
        <w:t xml:space="preserve">总承包单位：（公章）              </w:t>
      </w:r>
    </w:p>
    <w:p>
      <w:pPr>
        <w:spacing w:beforeLines="50" w:afterLines="50"/>
        <w:ind w:right="-50" w:rightChars="-24"/>
        <w:jc w:val="left"/>
        <w:rPr>
          <w:rFonts w:ascii="宋体" w:hAnsi="宋体"/>
          <w:b/>
          <w:szCs w:val="21"/>
        </w:rPr>
      </w:pPr>
      <w:r>
        <w:rPr>
          <w:rFonts w:hint="eastAsia" w:ascii="宋体" w:hAnsi="宋体"/>
          <w:b/>
          <w:szCs w:val="21"/>
        </w:rPr>
        <w:t>代表：</w:t>
      </w:r>
      <w:r>
        <w:rPr>
          <w:rFonts w:ascii="宋体" w:hAnsi="宋体"/>
          <w:b/>
          <w:szCs w:val="21"/>
        </w:rPr>
        <w:tab/>
      </w:r>
    </w:p>
    <w:p>
      <w:pPr>
        <w:tabs>
          <w:tab w:val="left" w:pos="7055"/>
        </w:tabs>
        <w:spacing w:beforeLines="50" w:afterLines="50"/>
        <w:ind w:right="-50" w:rightChars="-24"/>
        <w:jc w:val="left"/>
        <w:rPr>
          <w:rFonts w:ascii="宋体" w:hAnsi="宋体"/>
          <w:b/>
          <w:szCs w:val="21"/>
        </w:rPr>
      </w:pPr>
      <w:r>
        <w:rPr>
          <w:rFonts w:hint="eastAsia" w:ascii="宋体" w:hAnsi="宋体"/>
          <w:b/>
          <w:szCs w:val="21"/>
        </w:rPr>
        <w:t xml:space="preserve">年   月   日                     </w:t>
      </w:r>
    </w:p>
    <w:p>
      <w:pPr>
        <w:tabs>
          <w:tab w:val="left" w:pos="7055"/>
        </w:tabs>
        <w:spacing w:beforeLines="50" w:afterLines="50"/>
        <w:ind w:right="-50" w:rightChars="-24"/>
        <w:jc w:val="left"/>
        <w:rPr>
          <w:rFonts w:ascii="宋体" w:hAnsi="宋体"/>
          <w:b/>
          <w:szCs w:val="21"/>
        </w:rPr>
      </w:pPr>
    </w:p>
    <w:p>
      <w:pPr>
        <w:spacing w:beforeLines="50" w:afterLines="50"/>
        <w:ind w:right="-50" w:rightChars="-24"/>
        <w:jc w:val="left"/>
        <w:rPr>
          <w:rFonts w:ascii="宋体" w:hAnsi="宋体"/>
          <w:b/>
          <w:szCs w:val="21"/>
        </w:rPr>
      </w:pPr>
    </w:p>
    <w:p>
      <w:pPr>
        <w:spacing w:beforeLines="50" w:afterLines="50"/>
        <w:ind w:right="-50" w:rightChars="-24"/>
        <w:jc w:val="left"/>
        <w:rPr>
          <w:rFonts w:ascii="宋体" w:hAnsi="宋体"/>
          <w:b/>
          <w:szCs w:val="21"/>
        </w:rPr>
      </w:pPr>
      <w:r>
        <w:rPr>
          <w:rFonts w:hint="eastAsia" w:ascii="宋体" w:hAnsi="宋体"/>
          <w:b/>
          <w:szCs w:val="21"/>
        </w:rPr>
        <w:t>建设单位：（公章）</w:t>
      </w:r>
    </w:p>
    <w:p>
      <w:pPr>
        <w:spacing w:beforeLines="50" w:afterLines="50"/>
        <w:ind w:right="-50" w:rightChars="-24"/>
        <w:jc w:val="left"/>
        <w:rPr>
          <w:rFonts w:ascii="宋体" w:hAnsi="宋体"/>
          <w:b/>
          <w:szCs w:val="21"/>
        </w:rPr>
      </w:pPr>
      <w:r>
        <w:rPr>
          <w:rFonts w:hint="eastAsia" w:ascii="宋体" w:hAnsi="宋体"/>
          <w:b/>
          <w:szCs w:val="21"/>
        </w:rPr>
        <w:t>代表：</w:t>
      </w:r>
    </w:p>
    <w:p>
      <w:pPr>
        <w:spacing w:beforeLines="50" w:afterLines="50"/>
        <w:ind w:right="-50" w:rightChars="-24"/>
        <w:jc w:val="left"/>
        <w:rPr>
          <w:rFonts w:ascii="宋体" w:hAnsi="宋体"/>
          <w:b/>
          <w:szCs w:val="21"/>
        </w:rPr>
      </w:pPr>
      <w:r>
        <w:rPr>
          <w:rFonts w:hint="eastAsia" w:ascii="宋体" w:hAnsi="宋体"/>
          <w:b/>
          <w:szCs w:val="21"/>
        </w:rPr>
        <w:t>年   月   日</w:t>
      </w:r>
    </w:p>
    <w:p>
      <w:pPr>
        <w:spacing w:line="360" w:lineRule="auto"/>
        <w:rPr>
          <w:sz w:val="24"/>
        </w:rPr>
      </w:pPr>
    </w:p>
    <w:p>
      <w:pPr>
        <w:pStyle w:val="42"/>
        <w:spacing w:line="360" w:lineRule="auto"/>
        <w:jc w:val="left"/>
        <w:rPr>
          <w:b/>
          <w:sz w:val="24"/>
          <w:szCs w:val="24"/>
        </w:rPr>
        <w:sectPr>
          <w:footerReference r:id="rId15" w:type="first"/>
          <w:footerReference r:id="rId14" w:type="default"/>
          <w:pgSz w:w="11906" w:h="16838"/>
          <w:pgMar w:top="1440" w:right="1797" w:bottom="1440" w:left="1797" w:header="851" w:footer="992" w:gutter="0"/>
          <w:cols w:space="720" w:num="1"/>
          <w:titlePg/>
          <w:docGrid w:type="linesAndChars" w:linePitch="312" w:charSpace="0"/>
        </w:sectPr>
      </w:pPr>
    </w:p>
    <w:p>
      <w:pPr>
        <w:pStyle w:val="42"/>
        <w:spacing w:line="360" w:lineRule="auto"/>
        <w:jc w:val="left"/>
        <w:rPr>
          <w:b/>
          <w:sz w:val="24"/>
          <w:szCs w:val="24"/>
        </w:rPr>
      </w:pPr>
      <w:r>
        <w:rPr>
          <w:rFonts w:hint="eastAsia"/>
          <w:b/>
          <w:sz w:val="24"/>
          <w:szCs w:val="24"/>
        </w:rPr>
        <w:t>附件三</w:t>
      </w:r>
    </w:p>
    <w:p>
      <w:pPr>
        <w:jc w:val="center"/>
        <w:rPr>
          <w:rFonts w:ascii="黑体" w:eastAsia="黑体"/>
          <w:b/>
          <w:sz w:val="36"/>
          <w:szCs w:val="36"/>
        </w:rPr>
      </w:pPr>
      <w:r>
        <w:rPr>
          <w:rFonts w:hint="eastAsia" w:ascii="黑体" w:eastAsia="黑体"/>
          <w:b/>
          <w:sz w:val="36"/>
          <w:szCs w:val="36"/>
        </w:rPr>
        <w:t>工程管理协议</w:t>
      </w:r>
    </w:p>
    <w:p>
      <w:pPr>
        <w:jc w:val="center"/>
        <w:rPr>
          <w:rFonts w:ascii="黑体" w:eastAsia="黑体"/>
          <w:b/>
          <w:sz w:val="36"/>
          <w:szCs w:val="36"/>
        </w:rPr>
      </w:pPr>
    </w:p>
    <w:p>
      <w:pPr>
        <w:adjustRightInd w:val="0"/>
        <w:snapToGrid w:val="0"/>
        <w:ind w:right="-50" w:rightChars="-24"/>
        <w:jc w:val="left"/>
        <w:rPr>
          <w:rFonts w:ascii="宋体" w:hAnsi="宋体"/>
          <w:b/>
          <w:szCs w:val="21"/>
        </w:rPr>
      </w:pPr>
      <w:r>
        <w:rPr>
          <w:rFonts w:hint="eastAsia" w:ascii="宋体" w:hAnsi="宋体"/>
          <w:b/>
          <w:szCs w:val="21"/>
        </w:rPr>
        <w:t>建设单位：佛山市南海恒德胜嘉置业有限公司</w:t>
      </w:r>
    </w:p>
    <w:p>
      <w:pPr>
        <w:adjustRightInd w:val="0"/>
        <w:snapToGrid w:val="0"/>
        <w:ind w:right="-50" w:rightChars="-24"/>
        <w:jc w:val="left"/>
        <w:rPr>
          <w:rFonts w:ascii="宋体" w:hAnsi="宋体"/>
          <w:b/>
          <w:szCs w:val="21"/>
        </w:rPr>
      </w:pPr>
      <w:r>
        <w:rPr>
          <w:rFonts w:hint="eastAsia" w:ascii="宋体" w:hAnsi="宋体"/>
          <w:b/>
          <w:szCs w:val="21"/>
        </w:rPr>
        <w:t>总承包单位：</w:t>
      </w:r>
    </w:p>
    <w:p>
      <w:pPr>
        <w:adjustRightInd w:val="0"/>
        <w:snapToGrid w:val="0"/>
        <w:ind w:right="-50" w:rightChars="-24"/>
        <w:jc w:val="left"/>
        <w:rPr>
          <w:rFonts w:ascii="宋体" w:hAnsi="宋体"/>
          <w:b/>
          <w:szCs w:val="21"/>
        </w:rPr>
      </w:pPr>
      <w:r>
        <w:rPr>
          <w:rFonts w:hint="eastAsia" w:ascii="宋体" w:hAnsi="宋体"/>
          <w:b/>
          <w:szCs w:val="21"/>
        </w:rPr>
        <w:t xml:space="preserve">分包单位：                     </w:t>
      </w:r>
    </w:p>
    <w:p>
      <w:pPr>
        <w:adjustRightInd w:val="0"/>
        <w:snapToGrid w:val="0"/>
        <w:ind w:right="-50" w:rightChars="-24" w:firstLine="411" w:firstLineChars="196"/>
        <w:jc w:val="left"/>
        <w:rPr>
          <w:rFonts w:ascii="宋体" w:hAnsi="宋体"/>
          <w:szCs w:val="21"/>
        </w:rPr>
      </w:pPr>
      <w:r>
        <w:rPr>
          <w:rFonts w:hint="eastAsia" w:ascii="宋体" w:hAnsi="宋体"/>
          <w:szCs w:val="21"/>
        </w:rPr>
        <w:t>根据</w:t>
      </w:r>
      <w:r>
        <w:rPr>
          <w:rFonts w:hint="eastAsia" w:ascii="宋体" w:hAnsi="宋体"/>
          <w:szCs w:val="21"/>
          <w:u w:val="single"/>
          <w:lang w:eastAsia="zh-CN"/>
        </w:rPr>
        <w:t>上林观湖苑幼儿园（第二次招标）</w:t>
      </w:r>
      <w:r>
        <w:rPr>
          <w:rFonts w:hint="eastAsia" w:ascii="宋体" w:hAnsi="宋体"/>
          <w:szCs w:val="21"/>
        </w:rPr>
        <w:t>工程总承包施工合同规定，为总承包单位。为了加强对</w:t>
      </w:r>
      <w:r>
        <w:rPr>
          <w:rFonts w:hint="eastAsia" w:ascii="宋体" w:hAnsi="宋体"/>
          <w:szCs w:val="21"/>
          <w:u w:val="single"/>
        </w:rPr>
        <w:t>本</w:t>
      </w:r>
      <w:r>
        <w:rPr>
          <w:rFonts w:hint="eastAsia" w:ascii="宋体" w:hAnsi="宋体"/>
          <w:szCs w:val="21"/>
        </w:rPr>
        <w:t>工程的统一管理，现制定相应的规章制度，各分包单位的现场施工管理、安全管理、资料归档必须统一服从总承包单位的管理和合理安排，总承包单位与分包单位应共同做好</w:t>
      </w:r>
      <w:r>
        <w:rPr>
          <w:rFonts w:hint="eastAsia" w:ascii="宋体" w:hAnsi="宋体"/>
          <w:szCs w:val="21"/>
          <w:u w:val="single"/>
        </w:rPr>
        <w:t>本</w:t>
      </w:r>
      <w:r>
        <w:rPr>
          <w:rFonts w:hint="eastAsia" w:ascii="宋体" w:hAnsi="宋体"/>
          <w:szCs w:val="21"/>
        </w:rPr>
        <w:t>工程施工管理和安全文明施工，确保按期完成工程任务。经三方友好协商，为明确各自责任，现签订现场管理协议如下：</w:t>
      </w:r>
    </w:p>
    <w:p>
      <w:pPr>
        <w:adjustRightInd w:val="0"/>
        <w:snapToGrid w:val="0"/>
        <w:ind w:right="-50" w:rightChars="-24"/>
        <w:jc w:val="left"/>
        <w:rPr>
          <w:rFonts w:ascii="宋体" w:hAnsi="宋体"/>
          <w:b/>
          <w:szCs w:val="21"/>
        </w:rPr>
      </w:pPr>
      <w:r>
        <w:rPr>
          <w:rFonts w:hint="eastAsia" w:ascii="宋体" w:hAnsi="宋体"/>
          <w:b/>
          <w:szCs w:val="21"/>
        </w:rPr>
        <w:t>一、总承包单位责任</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对整个工程施工现场安全文明施工具有全面管理责任。</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负责向分包单位提供现有的垂直运输、施工用水、用电接驳点及材料堆放场地等给分包单位使用（按总承包合同相关规定）。</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督促分包单位做好质量和安全生产、文明施工等现场管理工作，杜绝安全事故发生。并负责联合分包单位对现场施工人员进行安全文明生产教育工作，并保存安全文明生产教育内容资料和分包单位参加安全生产教育人员的文字记录，并经双方负责人签认。</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审查和协调分包单位施工进度及工程进度计划，确保各分包单位有充分合理的时间来完成所承担工程。并保证整体的进度计划符合建设单位要求。</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负责协助分包单位竣工验收资料收集归档管理等相关工作，确保工程资料符合备案要求。</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参与所有工程的验收工作（包括各分包单位工程项目）。</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督促安全生产、文明施工双优目标和计划的编制实施，指挥分包单位的配合创优工作，确保安全生产、文明施工优良样板工地创优目标的实现。</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配备足够的保安人员，保证现场正常施工，并对工地范围（含生活区）内的防盗、安保负主要管理工作，但不承担由于管理责任引起的损失。</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总承包单位负责提供进出车辆清洗轮胎的设施及清洗服务。</w:t>
      </w:r>
    </w:p>
    <w:p>
      <w:pPr>
        <w:numPr>
          <w:ilvl w:val="0"/>
          <w:numId w:val="6"/>
        </w:numPr>
        <w:adjustRightInd w:val="0"/>
        <w:snapToGrid w:val="0"/>
        <w:ind w:right="-50" w:rightChars="-24" w:hangingChars="200"/>
        <w:jc w:val="left"/>
        <w:rPr>
          <w:rFonts w:ascii="宋体" w:hAnsi="宋体"/>
          <w:szCs w:val="21"/>
        </w:rPr>
      </w:pPr>
      <w:r>
        <w:rPr>
          <w:rFonts w:hint="eastAsia"/>
          <w:szCs w:val="21"/>
        </w:rPr>
        <w:t>总承包单位必须负责工程项目中的施工进度、工序交接、场地管理、成品保护、文明施工等对其他各分包单位的具体协调工作。</w:t>
      </w:r>
    </w:p>
    <w:p>
      <w:pPr>
        <w:adjustRightInd w:val="0"/>
        <w:snapToGrid w:val="0"/>
        <w:ind w:left="422" w:right="-50" w:rightChars="-24" w:hanging="420" w:hangingChars="200"/>
        <w:jc w:val="left"/>
        <w:rPr>
          <w:rFonts w:ascii="宋体" w:hAnsi="宋体"/>
          <w:szCs w:val="21"/>
        </w:rPr>
      </w:pPr>
      <w:r>
        <w:rPr>
          <w:rFonts w:hint="eastAsia" w:ascii="宋体" w:hAnsi="宋体"/>
          <w:b/>
          <w:szCs w:val="21"/>
        </w:rPr>
        <w:t>二、分包单位责任</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分包单位必须按规定配齐专职安全员、质检员、电工、测量员、施工员、资料员、技术员等配套项目管理班子，工人进入施工现场做到安全生产、文明施工。</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分包单位材料、设备进入或退出施工现场须到总承包单位项目部办理登记手续，持有总承包单位放行条才能放行（加盖项目部章）。</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须按施工技术质量管理规范及安全、文明施工标准、设计图纸的要求进行施工，按期、按质完成施工任务。由于分包单位施工管理不善造成返工、停工，导致工程质量、安全事故发生的，一切责任由分包单位承担。</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因分包单位管理不善，分包工程质量或安全文明施工存在隐患，并经总承包单位、监理单位及建设单位发文要求整改，分包单位拒不整改或整改不力且在上级监督主管部门检查时，造成总承包单位信誉损失及项目经理、安全员扣分的，每扣一分，分包单位赔偿总承包单位损失费人民币一万元整；造成对总承包企业扣分的，每扣一分，分包单位赔偿总承包单位损失费人民币贰万元整，各项扣分累计赔偿总承包单位损失费。</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由于总承包或分包单位原因导致上级监督主管部门签发停工整改通知，停工的一切损失由相关责任单位承担，并由监理单位及建设单位确认后按合同约定执行相关处罚，同时执行合同约定的相关处罚规定。</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分包单位进入</w:t>
      </w:r>
      <w:r>
        <w:rPr>
          <w:rFonts w:hint="eastAsia" w:ascii="宋体" w:hAnsi="宋体"/>
          <w:szCs w:val="21"/>
          <w:u w:val="single"/>
        </w:rPr>
        <w:t>上林一品苑三期幼儿园</w:t>
      </w:r>
      <w:r>
        <w:rPr>
          <w:rFonts w:hint="eastAsia" w:ascii="宋体" w:hAnsi="宋体"/>
          <w:szCs w:val="21"/>
        </w:rPr>
        <w:t>工地现场施工时，必须遵守总承包单位有关规章制度、管理条例。分包单位不服从总承包单位管理，接到整改通知单后拒不整改的，处罚人民币500元/次。</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分包单位工人进场时，必须提交身份证原件（核查后原件返回）及复印件一张，近期相片（1吋）4张给总承包单位登记备案。</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分包单位工人进场时每人需到派出所办理暂住证及购买工伤意外保险，并提供暂住证复印件每人一张及工伤意外保险单复印件加盖公章报总承包单位备案，不参保单位及工人不得进入工地。</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需交付人民币壹万元给总承包单位作为质量、安全文明施工保证金，总承包单位应开具相应金额的收据，作为凭据。各分包单位如有违反本协议内容的，总承包单位有权在押金中扣除违章罚款款项，工程完成并移交建设单位或总承包单位后，则剩余押金总承包单位应无条件退还分包单位。如押金不够扣除时总承包单位可申请由建设单位代为扣除。</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施工作业时，需向总承包单位办理工作卡（附相片）并交纳相关工本费及押金。工本费人民币5元/张，押金人民币20元/人，如安装电子打卡设备，需收取设备费人民币30元/人。实行戴工作卡进场施工，否则不能进入施工现场施工。</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进入施工现场的所有人员必须办理平安卡，如分包单位拒不办理平安卡的，则处以罚款人民币500元/人，并由乙方代为办理。</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分包单位工人进场必须服从总承包单位管理人员管理，不戴安全帽、穿拖鞋、衣冠不整、醉酒的工人一律不准进入施工现场。</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各分包单位负责做好各自进出现场施工车辆的管理工作，凡车箱防护不严密或回程污染场外市政道路，且不及时清理干净的处罚人民币2000元/次，并不免除其清理责任。如因道路污染造成城管部门处罚的，则由相关责任单位承担处罚责任及罚金，且总承包单位可追加罚款人民币5000元/次</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应按工程进度情况及时将工程竣工资料汇总整理归档，并提交给总承包单位进行归档，并确保所提供资料符合总承包单位和相关验收部门要求。如拒不提供资料或逾期不提供资料而导致工程验收延误的，处罚人民币10000元/次，并追究其延误验收责任。</w:t>
      </w:r>
    </w:p>
    <w:p>
      <w:pPr>
        <w:adjustRightInd w:val="0"/>
        <w:snapToGrid w:val="0"/>
        <w:ind w:right="-50" w:rightChars="-24"/>
        <w:jc w:val="left"/>
        <w:rPr>
          <w:rFonts w:ascii="宋体" w:hAnsi="宋体"/>
          <w:b/>
          <w:szCs w:val="21"/>
        </w:rPr>
      </w:pPr>
      <w:r>
        <w:rPr>
          <w:rFonts w:hint="eastAsia" w:ascii="宋体" w:hAnsi="宋体"/>
          <w:b/>
          <w:szCs w:val="21"/>
        </w:rPr>
        <w:t>三、安全、文明施工管理与处罚条例</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各分包单位如有违规，或不服从建设单位或总承包管理现象，均可按总承包合同附件《工程施工管理条例》规定进行处罚。</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进入施工现场不戴安全帽，或佩戴安全帽没有扣帽带的处罚人民币100元/次，高空作业没戴安全带处罚人民币200元/次，穿硬底鞋、高跟鞋、拖鞋进入现场作业处罚人民币100元/人/次，未佩戴工作卡进出工地处罚人民币100元/人/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分包单位现场施工时严禁乱拉乱接电源，严禁电缆泡水、拖地。如需用电者需先向总承包单位项目部提出申请，获批准后由专职电工拉设；如发现私接者，除没收设备外另处罚人民币500元/次。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施工现场严禁随地大小便，经发现处罚人民币500元/次，并现场拍照公示，同时责令违章者清理现场卫生一个月。</w:t>
      </w:r>
    </w:p>
    <w:p>
      <w:pPr>
        <w:numPr>
          <w:ilvl w:val="0"/>
          <w:numId w:val="8"/>
        </w:numPr>
        <w:adjustRightInd w:val="0"/>
        <w:snapToGrid w:val="0"/>
        <w:ind w:left="0" w:right="-50" w:rightChars="-24" w:firstLine="0"/>
        <w:jc w:val="left"/>
        <w:rPr>
          <w:rFonts w:ascii="宋体" w:hAnsi="宋体"/>
          <w:szCs w:val="21"/>
        </w:rPr>
      </w:pPr>
      <w:r>
        <w:rPr>
          <w:rFonts w:hint="eastAsia" w:ascii="宋体" w:hAnsi="宋体"/>
          <w:szCs w:val="21"/>
        </w:rPr>
        <w:t>严禁破坏现场安全文明防护措施，一经发现故意破坏者，将按情节轻重处罚人民币500-1000元/次。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分包单位不得在现场私自使用总承包单位或其它分包单位的材料，无论是成品或半成品，未经沟通并取得同意而私自用料者，经发现罚款人民币1000元/次。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分包单位应妥善保护自己的成品，并不能对其它单位的成品造成损毁，否则照价赔偿及处罚人民币1000元/次。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现场施工必须确保工完场清，保持场地整洁，如违反者视情况罚款人民币500元/次。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在上级管理部门进行工地检查时，分包单位必须按要求配合工作，对不配合工作造成检查不合格的，将追究分包单位责任，并罚款人民币2000元。</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严格执行安全生产纪律和总承包单位有关管理条例，严禁在施工现场、工地宿舍打架、闹事，进行赌博、偷窃等违法行为。如有违反者处罚人民币5000元，并移交当地公安机关处理，其经济和刑事责任由违章单位或个人全部承担。</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分包单位工人故意破坏或工人违章操作造成总承包单位及业主的一切损失由分包单位全部承担。</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需总承包单位协助工作或使用总承包单位设备及设施的，分包单位必须提前24小时书面报告总承包单位，总承包单位根据现场情况调配安排。</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需要交叉作业时必须互谅互让，礼貌待人，不能野蛮施工，影响整体施工安排。有矛盾时向总承包管理人员提出。如发生打架斗殴事件，责任双方均进行罚款（群体打架斗殴双方均罚款人民币10000元/次，个人与个人打架斗殴罚款人民币5000元/人/次）并移交公安机关处理。</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各种材料无及时按规定送检或隐瞒检测结果，经发现处罚人民币1000元/次。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对建设单位、监理提出的安全文明施工整改通知未落实整改或未彻底落实整改的处罚人民币500元/次，并应立即完成整改工作。</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无理拒绝或者拖延建设单位及监理人员所下达的整改通知处罚人民币1000元/次。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建设单位、监理方开出的罚款单不予接受的处罚为：该处罚单上的金额数再多加人民币500元/次。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监理例会要求的参加人，未履行请假缺席会议，处罚人民币200元/次，累计超过三次（含三次）无故缺席会议的，处罚2000元。</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监理例会中形成的决议，为履行或未彻底履行，处罚500元/次，且并不免除其履行责任。</w:t>
      </w:r>
    </w:p>
    <w:p>
      <w:pPr>
        <w:topLinePunct/>
        <w:adjustRightInd w:val="0"/>
        <w:snapToGrid w:val="0"/>
        <w:ind w:left="413" w:right="-50" w:rightChars="-24" w:hanging="411" w:hangingChars="196"/>
        <w:jc w:val="left"/>
        <w:rPr>
          <w:rFonts w:ascii="宋体" w:hAnsi="宋体"/>
          <w:szCs w:val="21"/>
        </w:rPr>
      </w:pPr>
      <w:r>
        <w:rPr>
          <w:rFonts w:hint="eastAsia" w:ascii="宋体" w:hAnsi="宋体"/>
          <w:b/>
          <w:szCs w:val="21"/>
        </w:rPr>
        <w:t>四、</w:t>
      </w:r>
      <w:r>
        <w:rPr>
          <w:rFonts w:hint="eastAsia"/>
        </w:rPr>
        <w:t>总承包单位和分包单位应按照先深后浅、弱电避强电、普通管让压力管、小管让大管、设计走向避让绿化树木的原则，处理好管线施工的次序和相互交叉的矛盾。在困难狭窄地段，在确保安全和验收标准的前提下，应协商协作，解决困难。如总承包单位和分包单位不顾全工程整体实施需要，违反业主/监理单位对工程的统筹协调，对责任总承包单位和分包单位每次予以扣除500～2000元的违约金，并承担因此引致的受损方提起的索赔。</w:t>
      </w:r>
    </w:p>
    <w:p>
      <w:pPr>
        <w:topLinePunct/>
        <w:adjustRightInd w:val="0"/>
        <w:snapToGrid w:val="0"/>
        <w:ind w:left="413" w:right="-50" w:rightChars="-24" w:hanging="411" w:hangingChars="196"/>
        <w:jc w:val="left"/>
        <w:rPr>
          <w:rFonts w:ascii="宋体" w:hAnsi="宋体"/>
          <w:szCs w:val="21"/>
        </w:rPr>
      </w:pPr>
      <w:r>
        <w:rPr>
          <w:rFonts w:hint="eastAsia" w:ascii="宋体" w:hAnsi="宋体"/>
          <w:b/>
          <w:szCs w:val="21"/>
        </w:rPr>
        <w:t>五、</w:t>
      </w:r>
      <w:r>
        <w:rPr>
          <w:rFonts w:hint="eastAsia" w:ascii="宋体" w:hAnsi="宋体"/>
          <w:szCs w:val="21"/>
        </w:rPr>
        <w:t>本协议二、三条款涉及罚款及处罚内容条款，各单位如有违反，则可由甲方及监理单位直接进行处罚或由总承包单位报请监理及建设单位见证后，以书面报监理单位及建设单位审批同意后执行，如分包单位拒不执行的，由建设单位在其工程进度款中代扣除。</w:t>
      </w:r>
    </w:p>
    <w:p>
      <w:pPr>
        <w:topLinePunct/>
        <w:adjustRightInd w:val="0"/>
        <w:snapToGrid w:val="0"/>
        <w:ind w:left="422" w:right="-50" w:rightChars="-24" w:hanging="420" w:hangingChars="200"/>
        <w:jc w:val="left"/>
        <w:rPr>
          <w:rFonts w:ascii="宋体" w:hAnsi="宋体"/>
          <w:szCs w:val="21"/>
        </w:rPr>
      </w:pPr>
      <w:r>
        <w:rPr>
          <w:rFonts w:hint="eastAsia" w:ascii="宋体" w:hAnsi="宋体"/>
          <w:b/>
          <w:szCs w:val="21"/>
        </w:rPr>
        <w:t>六、</w:t>
      </w:r>
      <w:r>
        <w:rPr>
          <w:rFonts w:hint="eastAsia" w:ascii="宋体" w:hAnsi="宋体"/>
          <w:szCs w:val="21"/>
        </w:rPr>
        <w:t>本协议一式叁份，建设单位、总承包及分包方各执一份，具有同等法律效力，必须共同    遵守执行，共建安全、文明施工工地。本协议三方签章之日起生效。</w:t>
      </w:r>
    </w:p>
    <w:p>
      <w:pPr>
        <w:tabs>
          <w:tab w:val="left" w:pos="6645"/>
        </w:tabs>
        <w:adjustRightInd w:val="0"/>
        <w:snapToGrid w:val="0"/>
        <w:ind w:right="-50" w:rightChars="-24"/>
        <w:jc w:val="left"/>
        <w:rPr>
          <w:rFonts w:ascii="宋体" w:hAnsi="宋体"/>
          <w:szCs w:val="21"/>
        </w:rPr>
      </w:pPr>
    </w:p>
    <w:p>
      <w:pPr>
        <w:tabs>
          <w:tab w:val="left" w:pos="6645"/>
        </w:tabs>
        <w:adjustRightInd w:val="0"/>
        <w:snapToGrid w:val="0"/>
        <w:ind w:right="-50" w:rightChars="-24"/>
        <w:jc w:val="left"/>
        <w:rPr>
          <w:rFonts w:ascii="宋体" w:hAnsi="宋体"/>
          <w:szCs w:val="21"/>
        </w:rPr>
      </w:pPr>
    </w:p>
    <w:p>
      <w:pPr>
        <w:tabs>
          <w:tab w:val="left" w:pos="6645"/>
        </w:tabs>
        <w:adjustRightInd w:val="0"/>
        <w:snapToGrid w:val="0"/>
        <w:ind w:right="-50" w:rightChars="-24"/>
        <w:jc w:val="left"/>
        <w:rPr>
          <w:rFonts w:ascii="宋体" w:hAnsi="宋体"/>
          <w:szCs w:val="21"/>
        </w:rPr>
      </w:pPr>
      <w:r>
        <w:rPr>
          <w:rFonts w:hint="eastAsia" w:ascii="宋体" w:hAnsi="宋体"/>
          <w:szCs w:val="21"/>
        </w:rPr>
        <w:t xml:space="preserve">总承包单位：（公章）                </w:t>
      </w:r>
    </w:p>
    <w:p>
      <w:pPr>
        <w:adjustRightInd w:val="0"/>
        <w:snapToGrid w:val="0"/>
        <w:ind w:right="-50" w:rightChars="-24"/>
        <w:jc w:val="left"/>
        <w:rPr>
          <w:rFonts w:ascii="宋体" w:hAnsi="宋体"/>
          <w:szCs w:val="21"/>
        </w:rPr>
      </w:pPr>
      <w:r>
        <w:rPr>
          <w:rFonts w:hint="eastAsia" w:ascii="宋体" w:hAnsi="宋体"/>
          <w:szCs w:val="21"/>
        </w:rPr>
        <w:t>代表：</w:t>
      </w:r>
      <w:r>
        <w:rPr>
          <w:rFonts w:ascii="宋体" w:hAnsi="宋体"/>
          <w:szCs w:val="21"/>
        </w:rPr>
        <w:tab/>
      </w:r>
      <w:r>
        <w:rPr>
          <w:rFonts w:hint="eastAsia" w:ascii="宋体" w:hAnsi="宋体"/>
          <w:szCs w:val="21"/>
        </w:rPr>
        <w:t xml:space="preserve">                             </w:t>
      </w:r>
    </w:p>
    <w:p>
      <w:pPr>
        <w:tabs>
          <w:tab w:val="left" w:pos="7055"/>
        </w:tabs>
        <w:adjustRightInd w:val="0"/>
        <w:snapToGrid w:val="0"/>
        <w:ind w:right="-50" w:rightChars="-24"/>
        <w:jc w:val="left"/>
        <w:rPr>
          <w:rFonts w:ascii="宋体" w:hAnsi="宋体"/>
          <w:szCs w:val="21"/>
        </w:rPr>
      </w:pPr>
      <w:r>
        <w:rPr>
          <w:rFonts w:hint="eastAsia" w:ascii="宋体" w:hAnsi="宋体"/>
          <w:szCs w:val="21"/>
        </w:rPr>
        <w:t>年   月   日                     年   月   日</w:t>
      </w:r>
    </w:p>
    <w:p>
      <w:pPr>
        <w:adjustRightInd w:val="0"/>
        <w:snapToGrid w:val="0"/>
        <w:ind w:right="-50" w:rightChars="-24"/>
        <w:jc w:val="left"/>
        <w:rPr>
          <w:rFonts w:ascii="宋体" w:hAnsi="宋体"/>
          <w:szCs w:val="21"/>
        </w:rPr>
      </w:pPr>
    </w:p>
    <w:p>
      <w:pPr>
        <w:adjustRightInd w:val="0"/>
        <w:snapToGrid w:val="0"/>
        <w:ind w:right="-50" w:rightChars="-24"/>
        <w:jc w:val="left"/>
        <w:rPr>
          <w:rFonts w:ascii="宋体" w:hAnsi="宋体"/>
          <w:szCs w:val="21"/>
        </w:rPr>
      </w:pPr>
      <w:r>
        <w:rPr>
          <w:rFonts w:hint="eastAsia" w:ascii="宋体" w:hAnsi="宋体"/>
          <w:szCs w:val="21"/>
        </w:rPr>
        <w:t>建设单位：（公章）</w:t>
      </w:r>
    </w:p>
    <w:p>
      <w:pPr>
        <w:adjustRightInd w:val="0"/>
        <w:snapToGrid w:val="0"/>
        <w:ind w:right="-50" w:rightChars="-24"/>
        <w:jc w:val="left"/>
        <w:rPr>
          <w:rFonts w:ascii="宋体" w:hAnsi="宋体"/>
          <w:szCs w:val="21"/>
        </w:rPr>
      </w:pPr>
      <w:r>
        <w:rPr>
          <w:rFonts w:hint="eastAsia" w:ascii="宋体" w:hAnsi="宋体"/>
          <w:szCs w:val="21"/>
        </w:rPr>
        <w:t>代表：</w:t>
      </w:r>
    </w:p>
    <w:p>
      <w:pPr>
        <w:adjustRightInd w:val="0"/>
        <w:snapToGrid w:val="0"/>
        <w:ind w:right="-50" w:rightChars="-24"/>
        <w:jc w:val="left"/>
        <w:rPr>
          <w:rFonts w:ascii="宋体" w:hAnsi="宋体"/>
          <w:szCs w:val="21"/>
        </w:rPr>
      </w:pPr>
      <w:r>
        <w:rPr>
          <w:rFonts w:hint="eastAsia" w:ascii="宋体" w:hAnsi="宋体"/>
          <w:szCs w:val="21"/>
        </w:rPr>
        <w:t>年   月   日</w:t>
      </w:r>
    </w:p>
    <w:p>
      <w:pPr>
        <w:spacing w:line="360" w:lineRule="auto"/>
        <w:rPr>
          <w:rFonts w:ascii="宋体" w:hAnsi="宋体"/>
          <w:b/>
          <w:bCs/>
          <w:spacing w:val="20"/>
          <w:sz w:val="24"/>
        </w:rPr>
        <w:sectPr>
          <w:footerReference r:id="rId17" w:type="first"/>
          <w:footerReference r:id="rId16" w:type="default"/>
          <w:pgSz w:w="11906" w:h="16838"/>
          <w:pgMar w:top="1440" w:right="1797" w:bottom="1440" w:left="1797" w:header="851" w:footer="992" w:gutter="0"/>
          <w:cols w:space="720" w:num="1"/>
          <w:titlePg/>
          <w:docGrid w:type="linesAndChars" w:linePitch="312" w:charSpace="0"/>
        </w:sectPr>
      </w:pPr>
    </w:p>
    <w:p>
      <w:pPr>
        <w:spacing w:line="360" w:lineRule="auto"/>
        <w:rPr>
          <w:rFonts w:ascii="宋体" w:hAnsi="宋体"/>
          <w:b/>
          <w:bCs/>
          <w:spacing w:val="20"/>
          <w:sz w:val="24"/>
        </w:rPr>
      </w:pPr>
      <w:r>
        <w:rPr>
          <w:rFonts w:hint="eastAsia" w:ascii="宋体" w:hAnsi="宋体"/>
          <w:b/>
          <w:bCs/>
          <w:spacing w:val="20"/>
          <w:sz w:val="24"/>
        </w:rPr>
        <w:t>附件四</w:t>
      </w:r>
    </w:p>
    <w:tbl>
      <w:tblPr>
        <w:tblStyle w:val="92"/>
        <w:tblW w:w="10056" w:type="dxa"/>
        <w:jc w:val="center"/>
        <w:tblInd w:w="0" w:type="dxa"/>
        <w:tblLayout w:type="fixed"/>
        <w:tblCellMar>
          <w:top w:w="0" w:type="dxa"/>
          <w:left w:w="108" w:type="dxa"/>
          <w:bottom w:w="0" w:type="dxa"/>
          <w:right w:w="108" w:type="dxa"/>
        </w:tblCellMar>
      </w:tblPr>
      <w:tblGrid>
        <w:gridCol w:w="236"/>
        <w:gridCol w:w="9820"/>
      </w:tblGrid>
      <w:tr>
        <w:tblPrEx>
          <w:tblLayout w:type="fixed"/>
          <w:tblCellMar>
            <w:top w:w="0" w:type="dxa"/>
            <w:left w:w="108" w:type="dxa"/>
            <w:bottom w:w="0" w:type="dxa"/>
            <w:right w:w="108" w:type="dxa"/>
          </w:tblCellMar>
        </w:tblPrEx>
        <w:trPr>
          <w:trHeight w:val="359" w:hRule="atLeast"/>
          <w:jc w:val="center"/>
        </w:trPr>
        <w:tc>
          <w:tcPr>
            <w:tcW w:w="10056" w:type="dxa"/>
            <w:gridSpan w:val="2"/>
          </w:tcPr>
          <w:p>
            <w:pPr>
              <w:spacing w:line="440" w:lineRule="exact"/>
              <w:jc w:val="center"/>
              <w:rPr>
                <w:rFonts w:ascii="宋体" w:hAnsi="宋体"/>
                <w:b/>
                <w:snapToGrid w:val="0"/>
                <w:sz w:val="30"/>
              </w:rPr>
            </w:pPr>
            <w:r>
              <w:rPr>
                <w:rFonts w:hint="eastAsia" w:ascii="黑体" w:hAnsi="宋体" w:eastAsia="黑体"/>
                <w:b/>
                <w:snapToGrid w:val="0"/>
                <w:sz w:val="36"/>
                <w:szCs w:val="36"/>
              </w:rPr>
              <w:t>《施工现场安全文明管理规定》</w:t>
            </w:r>
          </w:p>
        </w:tc>
      </w:tr>
      <w:tr>
        <w:tblPrEx>
          <w:tblLayout w:type="fixed"/>
          <w:tblCellMar>
            <w:top w:w="0" w:type="dxa"/>
            <w:left w:w="108" w:type="dxa"/>
            <w:bottom w:w="0" w:type="dxa"/>
            <w:right w:w="108" w:type="dxa"/>
          </w:tblCellMar>
        </w:tblPrEx>
        <w:trPr>
          <w:trHeight w:val="4209" w:hRule="atLeast"/>
          <w:jc w:val="center"/>
        </w:trPr>
        <w:tc>
          <w:tcPr>
            <w:tcW w:w="236" w:type="dxa"/>
          </w:tcPr>
          <w:p>
            <w:pPr>
              <w:spacing w:line="440" w:lineRule="exact"/>
              <w:jc w:val="center"/>
              <w:rPr>
                <w:rFonts w:ascii="宋体" w:hAnsi="宋体"/>
                <w:b/>
                <w:snapToGrid w:val="0"/>
                <w:sz w:val="30"/>
              </w:rPr>
            </w:pPr>
          </w:p>
        </w:tc>
        <w:tc>
          <w:tcPr>
            <w:tcW w:w="9820" w:type="dxa"/>
          </w:tcPr>
          <w:tbl>
            <w:tblPr>
              <w:tblStyle w:val="92"/>
              <w:tblW w:w="8812" w:type="dxa"/>
              <w:tblInd w:w="0" w:type="dxa"/>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
            <w:tblGrid>
              <w:gridCol w:w="4601"/>
              <w:gridCol w:w="4211"/>
            </w:tblGrid>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359" w:hRule="atLeast"/>
              </w:trPr>
              <w:tc>
                <w:tcPr>
                  <w:tcW w:w="8812" w:type="dxa"/>
                  <w:gridSpan w:val="2"/>
                  <w:vAlign w:val="center"/>
                </w:tcPr>
                <w:p>
                  <w:pPr>
                    <w:numPr>
                      <w:ilvl w:val="1"/>
                      <w:numId w:val="0"/>
                    </w:numPr>
                    <w:tabs>
                      <w:tab w:val="left" w:pos="0"/>
                    </w:tabs>
                    <w:adjustRightInd w:val="0"/>
                    <w:snapToGrid w:val="0"/>
                    <w:ind w:left="1"/>
                    <w:jc w:val="left"/>
                    <w:rPr>
                      <w:rFonts w:ascii="宋体" w:hAnsi="宋体"/>
                      <w:szCs w:val="21"/>
                    </w:rPr>
                  </w:pPr>
                  <w:r>
                    <w:rPr>
                      <w:rFonts w:hint="eastAsia" w:ascii="宋体" w:hAnsi="宋体"/>
                      <w:b/>
                      <w:szCs w:val="21"/>
                    </w:rPr>
                    <w:t>工地大门</w:t>
                  </w:r>
                  <w:r>
                    <w:rPr>
                      <w:rFonts w:hint="eastAsia" w:ascii="宋体" w:hAnsi="宋体"/>
                      <w:szCs w:val="21"/>
                    </w:rPr>
                    <w:t>（</w:t>
                  </w:r>
                  <w:r>
                    <w:rPr>
                      <w:rFonts w:ascii="宋体" w:hAnsi="宋体"/>
                      <w:szCs w:val="21"/>
                    </w:rPr>
                    <w:t>直接面向市政道路或工地最外围入口必须按此方案统一</w:t>
                  </w:r>
                  <w:r>
                    <w:rPr>
                      <w:rFonts w:hint="eastAsia" w:ascii="宋体" w:hAnsi="宋体"/>
                      <w:szCs w:val="21"/>
                    </w:rPr>
                    <w:t>）</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1347" w:hRule="atLeast"/>
              </w:trPr>
              <w:tc>
                <w:tcPr>
                  <w:tcW w:w="4601" w:type="dxa"/>
                </w:tcPr>
                <w:p>
                  <w:pPr>
                    <w:numPr>
                      <w:ilvl w:val="0"/>
                      <w:numId w:val="9"/>
                    </w:numPr>
                    <w:adjustRightInd w:val="0"/>
                    <w:snapToGrid w:val="0"/>
                    <w:ind w:left="0" w:firstLine="0"/>
                    <w:jc w:val="left"/>
                    <w:rPr>
                      <w:rFonts w:ascii="宋体" w:hAnsi="宋体"/>
                      <w:szCs w:val="21"/>
                    </w:rPr>
                  </w:pPr>
                  <w:r>
                    <w:rPr>
                      <w:rFonts w:ascii="宋体" w:hAnsi="宋体"/>
                      <w:szCs w:val="21"/>
                    </w:rPr>
                    <w:t>施工现场大门采用有门柱式的双开大门。</w:t>
                  </w:r>
                </w:p>
                <w:p>
                  <w:pPr>
                    <w:numPr>
                      <w:ilvl w:val="0"/>
                      <w:numId w:val="9"/>
                    </w:numPr>
                    <w:adjustRightInd w:val="0"/>
                    <w:snapToGrid w:val="0"/>
                    <w:ind w:left="0" w:firstLine="0"/>
                    <w:jc w:val="left"/>
                    <w:rPr>
                      <w:rFonts w:ascii="宋体" w:hAnsi="宋体"/>
                      <w:szCs w:val="21"/>
                    </w:rPr>
                  </w:pPr>
                  <w:r>
                    <w:rPr>
                      <w:rFonts w:ascii="宋体" w:hAnsi="宋体"/>
                      <w:szCs w:val="21"/>
                    </w:rPr>
                    <w:t>材质：大门采用金属角钢做框，做除锈处理，双面包镀锌铁皮。</w:t>
                  </w:r>
                </w:p>
                <w:p>
                  <w:pPr>
                    <w:numPr>
                      <w:ilvl w:val="0"/>
                      <w:numId w:val="9"/>
                    </w:numPr>
                    <w:adjustRightInd w:val="0"/>
                    <w:snapToGrid w:val="0"/>
                    <w:ind w:left="0" w:firstLine="0"/>
                    <w:jc w:val="left"/>
                    <w:rPr>
                      <w:rFonts w:ascii="宋体" w:hAnsi="宋体"/>
                      <w:szCs w:val="21"/>
                    </w:rPr>
                  </w:pPr>
                  <w:r>
                    <w:rPr>
                      <w:rFonts w:ascii="宋体" w:hAnsi="宋体"/>
                      <w:szCs w:val="21"/>
                    </w:rPr>
                    <w:t>大门图案及文字要求</w:t>
                  </w:r>
                  <w:r>
                    <w:rPr>
                      <w:rFonts w:hint="eastAsia" w:ascii="宋体" w:hAnsi="宋体"/>
                      <w:szCs w:val="21"/>
                    </w:rPr>
                    <w:t>与甲方协商。</w:t>
                  </w:r>
                </w:p>
              </w:tc>
              <w:tc>
                <w:tcPr>
                  <w:tcW w:w="4211" w:type="dxa"/>
                </w:tcPr>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447" w:hRule="atLeast"/>
              </w:trPr>
              <w:tc>
                <w:tcPr>
                  <w:tcW w:w="8812" w:type="dxa"/>
                  <w:gridSpan w:val="2"/>
                  <w:vAlign w:val="center"/>
                </w:tcPr>
                <w:p>
                  <w:pPr>
                    <w:numPr>
                      <w:ilvl w:val="1"/>
                      <w:numId w:val="0"/>
                    </w:numPr>
                    <w:tabs>
                      <w:tab w:val="left" w:pos="0"/>
                    </w:tabs>
                    <w:adjustRightInd w:val="0"/>
                    <w:snapToGrid w:val="0"/>
                    <w:jc w:val="left"/>
                    <w:rPr>
                      <w:rFonts w:ascii="宋体" w:hAnsi="宋体"/>
                      <w:szCs w:val="21"/>
                    </w:rPr>
                  </w:pPr>
                  <w:r>
                    <w:rPr>
                      <w:rFonts w:hint="eastAsia" w:ascii="宋体" w:hAnsi="宋体"/>
                      <w:b/>
                      <w:szCs w:val="21"/>
                    </w:rPr>
                    <w:t>现场标识牌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639" w:hRule="atLeast"/>
              </w:trPr>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各施工单位工地入口处应设置标识牌，例如工程概况牌、文明施工牌、项目组织架构牌、安全生产牌、消防保卫牌、施工总平面布置图等。</w:t>
                  </w:r>
                </w:p>
                <w:p>
                  <w:pPr>
                    <w:numPr>
                      <w:ilvl w:val="0"/>
                      <w:numId w:val="9"/>
                    </w:numPr>
                    <w:adjustRightInd w:val="0"/>
                    <w:snapToGrid w:val="0"/>
                    <w:ind w:left="0" w:firstLine="0"/>
                    <w:jc w:val="left"/>
                    <w:rPr>
                      <w:rFonts w:ascii="宋体" w:hAnsi="宋体"/>
                      <w:szCs w:val="21"/>
                    </w:rPr>
                  </w:pPr>
                  <w:r>
                    <w:rPr>
                      <w:rFonts w:hint="eastAsia" w:ascii="宋体" w:hAnsi="宋体"/>
                      <w:szCs w:val="21"/>
                    </w:rPr>
                    <w:t>标牌尺寸：标牌应设置为长方形，最小尺寸为</w:t>
                  </w:r>
                  <w:r>
                    <w:rPr>
                      <w:rFonts w:ascii="宋体" w:hAnsi="宋体"/>
                      <w:szCs w:val="21"/>
                    </w:rPr>
                    <w:t>1800mm×900mm</w:t>
                  </w:r>
                  <w:r>
                    <w:rPr>
                      <w:rFonts w:hint="eastAsia" w:ascii="宋体" w:hAnsi="宋体"/>
                      <w:szCs w:val="21"/>
                    </w:rPr>
                    <w:t>，可选用钢管和角钢支撑，或镶嵌于墙体内。</w:t>
                  </w:r>
                </w:p>
                <w:p>
                  <w:pPr>
                    <w:numPr>
                      <w:ilvl w:val="1"/>
                      <w:numId w:val="0"/>
                    </w:numPr>
                    <w:tabs>
                      <w:tab w:val="left" w:pos="0"/>
                    </w:tabs>
                    <w:adjustRightInd w:val="0"/>
                    <w:snapToGrid w:val="0"/>
                    <w:jc w:val="left"/>
                    <w:rPr>
                      <w:rFonts w:ascii="宋体" w:hAnsi="宋体"/>
                      <w:b/>
                      <w:szCs w:val="21"/>
                    </w:rPr>
                  </w:pPr>
                </w:p>
                <w:p>
                  <w:pPr>
                    <w:numPr>
                      <w:ilvl w:val="1"/>
                      <w:numId w:val="0"/>
                    </w:numPr>
                    <w:tabs>
                      <w:tab w:val="left" w:pos="0"/>
                    </w:tabs>
                    <w:adjustRightInd w:val="0"/>
                    <w:snapToGrid w:val="0"/>
                    <w:jc w:val="left"/>
                    <w:rPr>
                      <w:rFonts w:ascii="宋体" w:hAnsi="宋体"/>
                      <w:b/>
                      <w:szCs w:val="21"/>
                    </w:rPr>
                  </w:pPr>
                </w:p>
              </w:tc>
              <w:tc>
                <w:tcPr>
                  <w:tcW w:w="4211" w:type="dxa"/>
                </w:tcPr>
                <w:p>
                  <w:pPr>
                    <w:numPr>
                      <w:ilvl w:val="1"/>
                      <w:numId w:val="0"/>
                    </w:numPr>
                    <w:tabs>
                      <w:tab w:val="left" w:pos="0"/>
                    </w:tabs>
                    <w:adjustRightInd w:val="0"/>
                    <w:snapToGrid w:val="0"/>
                    <w:jc w:val="left"/>
                    <w:rPr>
                      <w:rFonts w:ascii="宋体" w:hAnsi="宋体"/>
                      <w:b/>
                      <w:sz w:val="24"/>
                    </w:rPr>
                  </w:pPr>
                  <w:r>
                    <w:rPr>
                      <w:rFonts w:ascii="宋体" w:hAnsi="宋体"/>
                      <w:sz w:val="24"/>
                    </w:rPr>
                    <w:pict>
                      <v:shape id="图片 295" o:spid="_x0000_s1320" o:spt="75" alt="DSC00728" type="#_x0000_t75" style="position:absolute;left:0pt;margin-left:11.95pt;margin-top:5.8pt;height:125.05pt;width:186.65pt;z-index:251642880;mso-width-relative:page;mso-height-relative:page;" filled="f" o:preferrelative="t" stroked="f" coordsize="21600,21600">
                        <v:path/>
                        <v:fill on="f" focussize="0,0"/>
                        <v:stroke on="f" joinstyle="miter"/>
                        <v:imagedata r:id="rId30" o:title="DSC00728"/>
                        <o:lock v:ext="edit" aspectratio="t"/>
                      </v:shape>
                    </w:pict>
                  </w: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工地围墙（整个项目）</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总包单位负责项目外围围墙的砌筑、保护、维修工作。</w:t>
                  </w:r>
                </w:p>
                <w:p>
                  <w:pPr>
                    <w:numPr>
                      <w:ilvl w:val="0"/>
                      <w:numId w:val="9"/>
                    </w:numPr>
                    <w:adjustRightInd w:val="0"/>
                    <w:snapToGrid w:val="0"/>
                    <w:ind w:left="0" w:firstLine="0"/>
                    <w:jc w:val="left"/>
                    <w:rPr>
                      <w:rFonts w:ascii="宋体" w:hAnsi="宋体"/>
                      <w:szCs w:val="21"/>
                    </w:rPr>
                  </w:pPr>
                  <w:r>
                    <w:rPr>
                      <w:rFonts w:hint="eastAsia" w:ascii="宋体" w:hAnsi="宋体"/>
                      <w:szCs w:val="21"/>
                    </w:rPr>
                    <w:t>临道路围挡或围墙的宣传广告权利归甲方项目部所有，由甲方负责围墙的宣传策划；</w: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6" o:spid="_x0000_s1321" o:spt="75" type="#_x0000_t75" style="position:absolute;left:0pt;margin-left:3.1pt;margin-top:2.05pt;height:128.5pt;width:186.25pt;z-index:251643904;mso-width-relative:page;mso-height-relative:page;" filled="f" o:preferrelative="t" stroked="f" coordsize="21600,21600">
                        <v:path/>
                        <v:fill on="f" focussize="0,0"/>
                        <v:stroke on="f" joinstyle="miter"/>
                        <v:imagedata r:id="rId31" cropleft="-98f" cropbottom="9102f"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b/>
                      <w:szCs w:val="21"/>
                    </w:rPr>
                    <w:t>各个总包间的封闭管理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252" w:hRule="atLeast"/>
              </w:trPr>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项目现场内各施工单位间应分别设置围挡实行封闭管理，围挡高度不得低于</w:t>
                  </w:r>
                  <w:r>
                    <w:rPr>
                      <w:rFonts w:ascii="宋体" w:hAnsi="宋体"/>
                      <w:szCs w:val="21"/>
                    </w:rPr>
                    <w:t>1.8</w:t>
                  </w:r>
                  <w:r>
                    <w:rPr>
                      <w:rFonts w:hint="eastAsia" w:ascii="宋体" w:hAnsi="宋体"/>
                      <w:szCs w:val="21"/>
                    </w:rPr>
                    <w:t>米，</w:t>
                  </w:r>
                </w:p>
                <w:p>
                  <w:pPr>
                    <w:numPr>
                      <w:ilvl w:val="0"/>
                      <w:numId w:val="9"/>
                    </w:numPr>
                    <w:adjustRightInd w:val="0"/>
                    <w:snapToGrid w:val="0"/>
                    <w:ind w:left="0" w:firstLine="0"/>
                    <w:jc w:val="left"/>
                    <w:rPr>
                      <w:rFonts w:ascii="宋体" w:hAnsi="宋体"/>
                      <w:szCs w:val="21"/>
                    </w:rPr>
                  </w:pPr>
                  <w:r>
                    <w:rPr>
                      <w:rFonts w:hint="eastAsia" w:ascii="宋体" w:hAnsi="宋体"/>
                      <w:szCs w:val="21"/>
                    </w:rPr>
                    <w:t>要求采取彩钢板制作</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7" o:spid="_x0000_s1322" o:spt="75" alt="施工围墙样板" type="#_x0000_t75" style="position:absolute;left:0pt;margin-left:2.95pt;margin-top:4.95pt;height:99.05pt;width:186.4pt;z-index:251644928;mso-width-relative:page;mso-height-relative:page;" filled="f" o:preferrelative="t" stroked="f" coordsize="21600,21600">
                        <v:path/>
                        <v:fill on="f" focussize="0,0"/>
                        <v:stroke on="f" joinstyle="miter"/>
                        <v:imagedata r:id="rId32" o:title="施工围墙样板"/>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道路和单元栋号间围护管理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5357"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要求主要施工道路、木工房、钢筋加工场地、搅拌站场地、砌块及其它材料堆放场地必须砼硬化，其余部分可考虑碎石垫层或矿煤渣硬化；道路硬化厚度不低于150；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建筑单体和主要施工道路两侧应用脚手架钢管分隔，要求高度不低于1m，刷红白色油漆，分割栏杆和单体建筑物间可以做为材料堆放场地；</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道路所有硬地面应高于场地</w:t>
                  </w:r>
                  <w:r>
                    <w:rPr>
                      <w:rFonts w:ascii="宋体" w:hAnsi="宋体" w:cs="宋体"/>
                      <w:snapToGrid w:val="0"/>
                      <w:kern w:val="0"/>
                      <w:szCs w:val="21"/>
                    </w:rPr>
                    <w:t>150</w:t>
                  </w:r>
                  <w:r>
                    <w:rPr>
                      <w:rFonts w:hint="eastAsia" w:ascii="宋体" w:hAnsi="宋体" w:cs="宋体"/>
                      <w:snapToGrid w:val="0"/>
                      <w:kern w:val="0"/>
                      <w:szCs w:val="21"/>
                    </w:rPr>
                    <w:t>以上或在道路边设置良好的排水沟；</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总包单位需安排专人负责施工道路的清洁卫生</w:t>
                  </w: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8" o:spid="_x0000_s1323" o:spt="75" type="#_x0000_t75" style="position:absolute;left:0pt;margin-left:12.7pt;margin-top:4.45pt;height:129pt;width:181.7pt;z-index:251645952;mso-width-relative:page;mso-height-relative:page;" filled="f" o:preferrelative="t" stroked="f" coordsize="21600,21600">
                        <v:path/>
                        <v:fill on="f" focussize="0,0"/>
                        <v:stroke on="f" joinstyle="miter"/>
                        <v:imagedata r:id="rId33" o:title=""/>
                        <o:lock v:ext="edit" aspectratio="t"/>
                      </v:shape>
                    </w:pict>
                  </w:r>
                  <w:r>
                    <w:rPr>
                      <w:rFonts w:ascii="宋体" w:hAnsi="宋体"/>
                      <w:sz w:val="24"/>
                    </w:rPr>
                    <w:pict>
                      <v:shape id="图片 299" o:spid="_x0000_s1324" o:spt="75" type="#_x0000_t75" style="position:absolute;left:0pt;margin-left:12.7pt;margin-top:136pt;height:128.15pt;width:181.7pt;z-index:251646976;mso-width-relative:page;mso-height-relative:page;" filled="f" o:preferrelative="t" stroked="f" coordsize="21600,21600">
                        <v:path/>
                        <v:fill on="f" focussize="0,0"/>
                        <v:stroke on="f" joinstyle="miter"/>
                        <v:imagedata r:id="rId34"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工地大门门卫室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入口处必须设置坚固、美观的门卫室，门卫室应悬挂经甲方批准的“施工现场车辆管理和人员参观管理办法及门卫岗位制度”。并配备办公桌椅、登记本、值班表、紧急联络电话表及警钟系统等，门卫人员要统一着装并佩戴执勤袖标。</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入口门卫室应设立安全帽存放区，确保每个进入地盘的人员</w:t>
                  </w:r>
                  <w:r>
                    <w:rPr>
                      <w:rFonts w:ascii="宋体" w:hAnsi="宋体" w:cs="宋体"/>
                      <w:snapToGrid w:val="0"/>
                      <w:kern w:val="0"/>
                      <w:szCs w:val="21"/>
                    </w:rPr>
                    <w:t>(</w:t>
                  </w:r>
                  <w:r>
                    <w:rPr>
                      <w:rFonts w:hint="eastAsia" w:ascii="宋体" w:hAnsi="宋体" w:cs="宋体"/>
                      <w:snapToGrid w:val="0"/>
                      <w:kern w:val="0"/>
                      <w:szCs w:val="21"/>
                    </w:rPr>
                    <w:t>包括访客</w:t>
                  </w:r>
                  <w:r>
                    <w:rPr>
                      <w:rFonts w:ascii="宋体" w:hAnsi="宋体" w:cs="宋体"/>
                      <w:snapToGrid w:val="0"/>
                      <w:kern w:val="0"/>
                      <w:szCs w:val="21"/>
                    </w:rPr>
                    <w:t>)</w:t>
                  </w:r>
                  <w:r>
                    <w:rPr>
                      <w:rFonts w:hint="eastAsia" w:ascii="宋体" w:hAnsi="宋体" w:cs="宋体"/>
                      <w:snapToGrid w:val="0"/>
                      <w:kern w:val="0"/>
                      <w:szCs w:val="21"/>
                    </w:rPr>
                    <w:t>都必须戴上安全帽；</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0" o:spid="_x0000_s1325" o:spt="75" type="#_x0000_t75" style="position:absolute;left:0pt;margin-left:2.25pt;margin-top:3.55pt;height:77.25pt;width:181.7pt;z-index:251648000;mso-width-relative:page;mso-height-relative:page;" filled="f" o:preferrelative="t" stroked="f" coordsize="21600,21600">
                        <v:path/>
                        <v:fill on="f" focussize="0,0"/>
                        <v:stroke on="f" joinstyle="miter"/>
                        <v:imagedata r:id="rId35"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0" w:hRule="atLeast"/>
              </w:trPr>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工人出入管理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现场应制定相应的门禁制度，按门禁制度进行管理。</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施工现场全体人员必须佩戴符合国家标准的安全帽。严禁佩戴不符合国家标准及无出厂合格证、无检测检验合格证的安全帽。</w:t>
                  </w: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1" o:spid="_x0000_s1326" o:spt="75" alt="彭涛东海岸02" type="#_x0000_t75" style="position:absolute;left:0pt;margin-left:2.25pt;margin-top:7.85pt;height:91.65pt;width:187.85pt;z-index:251649024;mso-width-relative:page;mso-height-relative:page;" filled="f" o:preferrelative="t" stroked="f" coordsize="21600,21600">
                        <v:path/>
                        <v:fill on="f" focussize="0,0"/>
                        <v:stroke on="f" joinstyle="miter"/>
                        <v:imagedata r:id="rId36" o:title="彭涛东海岸02"/>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工地大门洗车池及道路保洁</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工地大门口必须作砼硬地处理，车辆出入口位置设车辆冲洗装置和排水沟，保证带有泥土的车辆经冲洗后才能驶入城市街道；</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施工主要道路总包必须专人管理，并负责每日不少于一次的清理保洁，保持道路清洁。</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2" o:spid="_x0000_s1327" o:spt="75" type="#_x0000_t75" style="position:absolute;left:0pt;margin-left:6.55pt;margin-top:6.35pt;height:96.95pt;width:187.85pt;z-index:251650048;mso-width-relative:page;mso-height-relative:page;" filled="f" o:preferrelative="t" stroked="f" coordsize="21600,21600">
                        <v:path/>
                        <v:fill on="f" focussize="0,0"/>
                        <v:stroke on="f" joinstyle="miter"/>
                        <v:imagedata r:id="rId37"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44" w:hRule="atLeast"/>
              </w:trPr>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塔吊标识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塔吊的配重臂上双面悬挂恒胜标志和“恒胜置业”字样的组合标志，字间距及尺寸视塔吊情况决定。</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塔吊进场需报专门的拆安方案给监理单位审批；</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塔吊需报当地安检部门进行专项验收；</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塔吊接地系统需报监理组织检测；</w:t>
                  </w:r>
                </w:p>
              </w:tc>
              <w:tc>
                <w:tcPr>
                  <w:tcW w:w="4211" w:type="dxa"/>
                </w:tcPr>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03" o:spid="_x0000_s1328" o:spt="75" alt="照片 037" type="#_x0000_t75" style="position:absolute;left:0pt;margin-left:15.85pt;margin-top:4.55pt;height:92.2pt;width:162.85pt;z-index:251651072;mso-width-relative:page;mso-height-relative:page;" filled="f" o:preferrelative="t" stroked="f" coordsize="21600,21600">
                        <v:path/>
                        <v:fill on="f" focussize="0,0"/>
                        <v:stroke on="f" joinstyle="miter"/>
                        <v:imagedata r:id="rId38" o:title="照片 037"/>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cs="宋体"/>
                      <w:b/>
                      <w:snapToGrid w:val="0"/>
                      <w:kern w:val="0"/>
                      <w:szCs w:val="21"/>
                    </w:rPr>
                  </w:pPr>
                  <w:r>
                    <w:rPr>
                      <w:rFonts w:hint="eastAsia" w:ascii="宋体" w:hAnsi="宋体" w:cs="宋体"/>
                      <w:b/>
                      <w:snapToGrid w:val="0"/>
                      <w:kern w:val="0"/>
                      <w:szCs w:val="21"/>
                    </w:rPr>
                    <w:t>脚手架、楼层踢角线、楼栋、楼层标识牌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331"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现场外墙建筑脚手架方案需报监理审批；</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钢管脚手架必须全部涂有防锈油漆，密目式安全立网要挂置在外立杆内侧，严禁竖挂、斜挂，密目式安全立网应及时清洗更换、保持整洁。要求每层楼板处设踢脚板（安装在安全网外面），踢脚板（木板作成，宽度200，厚度18，刷成黄、黑漆相间，间隔300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每栋单体需悬挂楼栋编号牌，不小于600×600；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每个楼层在主要立面悬挂楼层标识牌，不小于400×400；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施工楼梯内用应标识楼层号</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4" o:spid="_x0000_s1329" o:spt="75" alt="DSC00391" type="#_x0000_t75" style="position:absolute;left:0pt;margin-left:21.1pt;margin-top:7.5pt;height:118.65pt;width:169.7pt;z-index:251652096;mso-width-relative:page;mso-height-relative:page;" filled="f" o:preferrelative="t" stroked="f" coordsize="21600,21600">
                        <v:path/>
                        <v:fill on="f" focussize="0,0"/>
                        <v:stroke on="f" joinstyle="miter"/>
                        <v:imagedata r:id="rId39" o:title="DSC0039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05" o:spid="_x0000_s1330" o:spt="75" alt="彭涛中山10" type="#_x0000_t75" style="position:absolute;left:0pt;margin-left:22.2pt;margin-top:8.15pt;height:109.55pt;width:165.2pt;z-index:251653120;mso-width-relative:page;mso-height-relative:page;" filled="f" o:preferrelative="t" stroked="f" coordsize="21600,21600">
                        <v:path/>
                        <v:fill on="f" focussize="0,0"/>
                        <v:stroke on="f" joinstyle="miter"/>
                        <v:imagedata r:id="rId40" o:title="彭涛中山10"/>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现场垃圾池</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 xml:space="preserve">要求总包单位在施工现场设置专用的垃圾外运池，并及时将垃圾外运； </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总包单位需安排专人负责作业面的垃圾外运到垃圾池，做到工完场清；</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各专业分包人需安排专人将各自的施工垃圾清运到垃圾池，服从总包关于现场安全文明的管理，做到工完场清；</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禁止从建筑物内向外抛洒建筑垃圾，垃圾应集中收集、堆放，及时清运，做到工完场清；</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6" o:spid="_x0000_s1331" o:spt="75" type="#_x0000_t75" style="position:absolute;left:0pt;margin-left:21.1pt;margin-top:2.8pt;height:106.3pt;width:175pt;z-index:251654144;mso-width-relative:page;mso-height-relative:page;" filled="f" o:preferrelative="t" stroked="f" coordsize="21600,21600">
                        <v:path/>
                        <v:fill on="f" focussize="0,0"/>
                        <v:stroke on="f" joinstyle="miter"/>
                        <v:imagedata r:id="rId41"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楼栋安全通道（双层防护）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336"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结构首层的出入口必须搭设双层防护棚，并设置警示牌。两侧用密目安全网封闭。</w:t>
                  </w:r>
                </w:p>
                <w:p>
                  <w:pPr>
                    <w:adjustRightInd w:val="0"/>
                    <w:snapToGrid w:val="0"/>
                    <w:jc w:val="left"/>
                    <w:rPr>
                      <w:rFonts w:ascii="宋体" w:hAnsi="宋体" w:cs="宋体"/>
                      <w:snapToGrid w:val="0"/>
                      <w:kern w:val="0"/>
                      <w:szCs w:val="21"/>
                    </w:rPr>
                  </w:pPr>
                  <w:r>
                    <w:rPr>
                      <w:rFonts w:ascii="宋体" w:hAnsi="宋体"/>
                      <w:sz w:val="24"/>
                    </w:rPr>
                    <w:pict>
                      <v:shape id="图片 307" o:spid="_x0000_s1332" o:spt="75" type="#_x0000_t75" style="position:absolute;left:0pt;margin-left:4.05pt;margin-top:6.85pt;height:77.9pt;width:199.1pt;z-index:251655168;mso-width-relative:page;mso-height-relative:page;" filled="f" o:preferrelative="t" stroked="f" coordsize="21600,21600">
                        <v:path/>
                        <v:fill on="f" focussize="0,0"/>
                        <v:stroke on="f" joinstyle="miter"/>
                        <v:imagedata r:id="rId42" o:title=""/>
                        <o:lock v:ext="edit" aspectratio="t"/>
                      </v:shape>
                    </w:pic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8" o:spid="_x0000_s1333" o:spt="75" alt="DSC04911" type="#_x0000_t75" style="position:absolute;left:0pt;margin-left:-0.5pt;margin-top:4.8pt;height:101.9pt;width:201.55pt;z-index:251656192;mso-width-relative:page;mso-height-relative:page;" filled="f" o:preferrelative="t" stroked="f" coordsize="21600,21600">
                        <v:path/>
                        <v:fill on="f" focussize="0,0"/>
                        <v:stroke on="f" joinstyle="miter"/>
                        <v:imagedata r:id="rId43" o:title="DSC0491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临边和四口防护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四口（</w:t>
                  </w:r>
                  <w:r>
                    <w:rPr>
                      <w:rFonts w:ascii="宋体" w:hAnsi="宋体" w:cs="宋体"/>
                      <w:snapToGrid w:val="0"/>
                      <w:kern w:val="0"/>
                      <w:szCs w:val="21"/>
                    </w:rPr>
                    <w:t>通道口、预留洞口、楼梯口、电梯井口</w:t>
                  </w:r>
                  <w:r>
                    <w:rPr>
                      <w:rFonts w:hint="eastAsia" w:ascii="宋体" w:hAnsi="宋体" w:cs="宋体"/>
                      <w:snapToGrid w:val="0"/>
                      <w:kern w:val="0"/>
                      <w:szCs w:val="21"/>
                    </w:rPr>
                    <w:t>）和</w:t>
                  </w:r>
                  <w:r>
                    <w:rPr>
                      <w:rFonts w:ascii="宋体" w:hAnsi="宋体" w:cs="宋体"/>
                      <w:snapToGrid w:val="0"/>
                      <w:kern w:val="0"/>
                      <w:szCs w:val="21"/>
                    </w:rPr>
                    <w:t>阳台、楼板、屋面等临边</w:t>
                  </w:r>
                  <w:r>
                    <w:rPr>
                      <w:rFonts w:hint="eastAsia" w:ascii="宋体" w:hAnsi="宋体" w:cs="宋体"/>
                      <w:snapToGrid w:val="0"/>
                      <w:kern w:val="0"/>
                      <w:szCs w:val="21"/>
                    </w:rPr>
                    <w:t>部位必须设有安全防护围栏或盖板</w:t>
                  </w:r>
                </w:p>
                <w:p>
                  <w:pPr>
                    <w:adjustRightInd w:val="0"/>
                    <w:snapToGrid w:val="0"/>
                    <w:ind w:left="563" w:hanging="84"/>
                    <w:jc w:val="left"/>
                    <w:rPr>
                      <w:rFonts w:ascii="宋体" w:hAnsi="宋体" w:cs="宋体"/>
                      <w:snapToGrid w:val="0"/>
                      <w:kern w:val="0"/>
                      <w:szCs w:val="21"/>
                    </w:rPr>
                  </w:pPr>
                  <w:r>
                    <w:rPr>
                      <w:rFonts w:ascii="宋体" w:hAnsi="宋体"/>
                      <w:sz w:val="24"/>
                    </w:rPr>
                    <w:pict>
                      <v:shape id="_x0000_s1334" o:spid="_x0000_s1334" o:spt="75" type="#_x0000_t75" style="position:absolute;left:0pt;margin-left:-0.05pt;margin-top:6.95pt;height:125.25pt;width:193pt;z-index:251658240;mso-width-relative:page;mso-height-relative:page;" filled="f" o:preferrelative="t" stroked="f" coordsize="21600,21600">
                        <v:path/>
                        <v:fill on="f" focussize="0,0"/>
                        <v:stroke on="f" joinstyle="miter"/>
                        <v:imagedata r:id="rId44" o:title=""/>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35" o:spid="_x0000_s1335" o:spt="75" type="#_x0000_t75" style="position:absolute;left:0pt;margin-left:1.2pt;margin-top:8.65pt;height:246.4pt;width:180.65pt;z-index:251657216;mso-width-relative:page;mso-height-relative:page;" filled="f" o:preferrelative="t" stroked="f" coordsize="21600,21600">
                        <v:path/>
                        <v:fill on="f" focussize="0,0"/>
                        <v:stroke on="f" joinstyle="miter"/>
                        <v:imagedata r:id="rId45"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材料堆放</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施工现场材料堆放和机具设备安放应符合现场平面布置图确定的位置；材料堆码要整齐，摆放有序，并挂置定型标牌（标牌尺寸</w:t>
                  </w:r>
                  <w:r>
                    <w:rPr>
                      <w:rFonts w:ascii="宋体" w:hAnsi="宋体" w:cs="宋体"/>
                      <w:snapToGrid w:val="0"/>
                      <w:kern w:val="0"/>
                      <w:szCs w:val="21"/>
                    </w:rPr>
                    <w:t>0.2</w:t>
                  </w:r>
                  <w:r>
                    <w:rPr>
                      <w:rFonts w:hint="eastAsia" w:ascii="宋体" w:hAnsi="宋体" w:cs="宋体"/>
                      <w:snapToGrid w:val="0"/>
                      <w:kern w:val="0"/>
                      <w:szCs w:val="21"/>
                    </w:rPr>
                    <w:t>米×</w:t>
                  </w:r>
                  <w:r>
                    <w:rPr>
                      <w:rFonts w:ascii="宋体" w:hAnsi="宋体" w:cs="宋体"/>
                      <w:snapToGrid w:val="0"/>
                      <w:kern w:val="0"/>
                      <w:szCs w:val="21"/>
                    </w:rPr>
                    <w:t>0.3</w:t>
                  </w:r>
                  <w:r>
                    <w:rPr>
                      <w:rFonts w:hint="eastAsia" w:ascii="宋体" w:hAnsi="宋体" w:cs="宋体"/>
                      <w:snapToGrid w:val="0"/>
                      <w:kern w:val="0"/>
                      <w:szCs w:val="21"/>
                    </w:rPr>
                    <w:t>米，标牌内容：产品名称、规格、型号、检验状态和产地等）；标牌挂置要牢固，方向一致，高度相同；</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钢材堆放分款分批平稳堆于在有承托的地面上，减少与地面接触和受潮。短期内不使用的应加盖帆布；</w:t>
                  </w:r>
                </w:p>
                <w:p>
                  <w:pPr>
                    <w:numPr>
                      <w:ilvl w:val="0"/>
                      <w:numId w:val="9"/>
                    </w:numPr>
                    <w:adjustRightInd w:val="0"/>
                    <w:snapToGrid w:val="0"/>
                    <w:ind w:left="563" w:hanging="84"/>
                    <w:jc w:val="left"/>
                    <w:rPr>
                      <w:rFonts w:ascii="宋体" w:hAnsi="宋体" w:cs="宋体"/>
                      <w:snapToGrid w:val="0"/>
                      <w:kern w:val="0"/>
                      <w:szCs w:val="21"/>
                    </w:rPr>
                  </w:pPr>
                  <w:r>
                    <w:rPr>
                      <w:rFonts w:ascii="宋体" w:hAnsi="宋体"/>
                      <w:sz w:val="24"/>
                    </w:rPr>
                    <w:pict>
                      <v:shape id="图片 313" o:spid="_x0000_s1336" o:spt="75" alt="彭涛花城12" type="#_x0000_t75" style="position:absolute;left:0pt;margin-left:-0.15pt;margin-top:40.3pt;height:55.2pt;width:184.25pt;z-index:251661312;mso-width-relative:page;mso-height-relative:page;" filled="f" o:preferrelative="t" stroked="f" coordsize="21600,21600">
                        <v:path/>
                        <v:fill on="f" focussize="0,0"/>
                        <v:stroke on="f" joinstyle="miter"/>
                        <v:imagedata r:id="rId46" o:title="彭涛花城12"/>
                        <o:lock v:ext="edit" aspectratio="t"/>
                      </v:shape>
                    </w:pict>
                  </w:r>
                  <w:r>
                    <w:rPr>
                      <w:rFonts w:hint="eastAsia" w:ascii="宋体" w:hAnsi="宋体" w:cs="宋体"/>
                      <w:snapToGrid w:val="0"/>
                      <w:kern w:val="0"/>
                      <w:szCs w:val="21"/>
                    </w:rPr>
                    <w:t>木材堆放必须用木枋承托，避免受潮或倾斜。露天存放且而短期内不使用的应加盖帆布；</w: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ind w:left="563" w:hanging="84"/>
                    <w:jc w:val="left"/>
                    <w:rPr>
                      <w:rFonts w:ascii="宋体" w:hAnsi="宋体" w:cs="宋体"/>
                      <w:snapToGrid w:val="0"/>
                      <w:kern w:val="0"/>
                      <w:szCs w:val="21"/>
                    </w:rPr>
                  </w:pPr>
                  <w:r>
                    <w:rPr>
                      <w:rFonts w:ascii="宋体" w:hAnsi="宋体"/>
                      <w:sz w:val="24"/>
                    </w:rPr>
                    <w:pict>
                      <v:shape id="图片 315" o:spid="_x0000_s1337" o:spt="75" alt="DSC09046" type="#_x0000_t75" style="position:absolute;left:0pt;margin-left:1.95pt;margin-top:8.45pt;height:113.45pt;width:176.25pt;z-index:251663360;mso-width-relative:page;mso-height-relative:page;" filled="f" o:preferrelative="t" stroked="f" coordsize="21600,21600">
                        <v:path/>
                        <v:fill on="f" focussize="0,0"/>
                        <v:stroke on="f" joinstyle="miter"/>
                        <v:imagedata r:id="rId47" o:title="DSC09046"/>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r>
                    <w:rPr>
                      <w:rFonts w:ascii="宋体" w:hAnsi="宋体"/>
                      <w:sz w:val="24"/>
                    </w:rPr>
                    <w:pict>
                      <v:shape id="_x0000_s1338" o:spid="_x0000_s1338" o:spt="75" alt="DSC04246" type="#_x0000_t75" style="position:absolute;left:0pt;margin-left:13.15pt;margin-top:3.3pt;height:117.2pt;width:173.4pt;z-index:251659264;mso-width-relative:page;mso-height-relative:page;" filled="f" o:preferrelative="t" stroked="f" coordsize="21600,21600">
                        <v:path/>
                        <v:fill on="f" focussize="0,0"/>
                        <v:stroke on="f" joinstyle="miter"/>
                        <v:imagedata r:id="rId48" o:title="DSC04246"/>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ind w:left="563" w:hanging="84"/>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12" o:spid="_x0000_s1339" o:spt="75" alt="DSC04253" type="#_x0000_t75" style="position:absolute;left:0pt;margin-left:-0.4pt;margin-top:2.5pt;height:204.3pt;width:195pt;z-index:251660288;mso-width-relative:page;mso-height-relative:page;" filled="f" o:preferrelative="t" stroked="f" coordsize="21600,21600">
                        <v:path/>
                        <v:fill on="f" focussize="0,0"/>
                        <v:stroke on="f" joinstyle="miter"/>
                        <v:imagedata r:id="rId49" croptop="10843f" o:title="DSC04253"/>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0" o:spid="_x0000_s1340" o:spt="75" alt="DSC09116" type="#_x0000_t75" style="position:absolute;left:0pt;margin-left:-0.45pt;margin-top:0.85pt;height:105.45pt;width:181.8pt;z-index:251662336;mso-width-relative:page;mso-height-relative:page;" filled="f" o:preferrelative="t" stroked="f" coordsize="21600,21600">
                        <v:path/>
                        <v:fill on="f" focussize="0,0"/>
                        <v:stroke on="f" joinstyle="miter"/>
                        <v:imagedata r:id="rId50" o:title="DSC0911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ind w:left="552" w:hanging="73"/>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1" o:spid="_x0000_s1341" o:spt="75" type="#_x0000_t75" style="position:absolute;left:0pt;margin-left:-0.65pt;margin-top:11.45pt;height:100.45pt;width:189.35pt;z-index:251664384;mso-width-relative:page;mso-height-relative:page;" filled="f" o:preferrelative="t" stroked="f" coordsize="21600,21600">
                        <v:path/>
                        <v:fill on="f" focussize="0,0"/>
                        <v:stroke on="f" joinstyle="miter"/>
                        <v:imagedata r:id="rId51"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施工用电</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的用电线路、用电设施的安装和使用必须符合相关安全技术规范。施工用电配线应采用三相五线制，一机一闸一漏电。危险潮湿场所的照明以及手持照明灯具，必须采用符合安全要求的电压。电气线路应严格按施工组织设计进行架设，严禁任意拉线接电。夜间施工，现场必须设有保证施工安全要求的照明设施；</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总、分配电箱内均应贴上电路图。配电箱外要上锁，并应标明负责人（电工）姓名和联络电话，要求电工进行日常巡检</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要求电箱需做防雨水措施</w: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2" o:spid="_x0000_s1342" o:spt="75" alt="DSC04236" type="#_x0000_t75" style="position:absolute;left:0pt;margin-left:14.35pt;margin-top:7.45pt;height:117.95pt;width:177.85pt;z-index:251665408;mso-width-relative:page;mso-height-relative:page;" filled="f" o:preferrelative="t" stroked="f" coordsize="21600,21600">
                        <v:path/>
                        <v:fill on="f" focussize="0,0"/>
                        <v:stroke on="f" joinstyle="miter"/>
                        <v:imagedata r:id="rId52" o:title="DSC0423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3" o:spid="_x0000_s1343" o:spt="75" type="#_x0000_t75" style="position:absolute;left:0pt;margin-left:16.35pt;margin-top:9.1pt;height:100.45pt;width:175.85pt;z-index:251666432;mso-width-relative:page;mso-height-relative:page;" filled="f" o:preferrelative="t" stroked="f" coordsize="21600,21600">
                        <v:path/>
                        <v:fill on="f" focussize="0,0"/>
                        <v:stroke on="f" joinstyle="miter"/>
                        <v:imagedata r:id="rId53"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消防设施</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施工单位应制定现场消防工作制度和防火救灾方案，明确各区域消防责任人。</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施工现场应划定动火作业区，实行全封闭管理，动火区与易燃易爆库房应保持</w:t>
                  </w:r>
                  <w:r>
                    <w:rPr>
                      <w:rFonts w:ascii="宋体" w:hAnsi="宋体" w:cs="宋体"/>
                      <w:snapToGrid w:val="0"/>
                      <w:kern w:val="0"/>
                      <w:szCs w:val="21"/>
                    </w:rPr>
                    <w:t>30</w:t>
                  </w:r>
                  <w:r>
                    <w:rPr>
                      <w:rFonts w:hint="eastAsia" w:ascii="宋体" w:hAnsi="宋体" w:cs="宋体"/>
                      <w:snapToGrid w:val="0"/>
                      <w:kern w:val="0"/>
                      <w:szCs w:val="21"/>
                    </w:rPr>
                    <w:t>米以上的距离，动火区不得置于高压线下。施工现场动用明火时，应采取防火措施。严禁在施工楼内生火取暖和烘烤其它物品。</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施工现场应配备足够的消防器材，消防器材应定期进行检查，过期失效的应及时更换。临时设施区，每</w:t>
                  </w:r>
                  <w:r>
                    <w:rPr>
                      <w:rFonts w:ascii="宋体" w:hAnsi="宋体" w:cs="宋体"/>
                      <w:snapToGrid w:val="0"/>
                      <w:kern w:val="0"/>
                      <w:szCs w:val="21"/>
                    </w:rPr>
                    <w:t>100</w:t>
                  </w:r>
                  <w:r>
                    <w:rPr>
                      <w:rFonts w:hint="eastAsia" w:ascii="宋体" w:hAnsi="宋体" w:cs="宋体"/>
                      <w:snapToGrid w:val="0"/>
                      <w:kern w:val="0"/>
                      <w:szCs w:val="21"/>
                    </w:rPr>
                    <w:t>平方米配备两个</w:t>
                  </w:r>
                  <w:r>
                    <w:rPr>
                      <w:rFonts w:ascii="宋体" w:hAnsi="宋体" w:cs="宋体"/>
                      <w:snapToGrid w:val="0"/>
                      <w:kern w:val="0"/>
                      <w:szCs w:val="21"/>
                    </w:rPr>
                    <w:t>10L</w:t>
                  </w:r>
                  <w:r>
                    <w:rPr>
                      <w:rFonts w:hint="eastAsia" w:ascii="宋体" w:hAnsi="宋体" w:cs="宋体"/>
                      <w:snapToGrid w:val="0"/>
                      <w:kern w:val="0"/>
                      <w:szCs w:val="21"/>
                    </w:rPr>
                    <w:t>灭火器，大型临时设施总面积超过</w:t>
                  </w:r>
                  <w:r>
                    <w:rPr>
                      <w:rFonts w:ascii="宋体" w:hAnsi="宋体" w:cs="宋体"/>
                      <w:snapToGrid w:val="0"/>
                      <w:kern w:val="0"/>
                      <w:szCs w:val="21"/>
                    </w:rPr>
                    <w:t>1200</w:t>
                  </w:r>
                  <w:r>
                    <w:rPr>
                      <w:rFonts w:hint="eastAsia" w:ascii="宋体" w:hAnsi="宋体" w:cs="宋体"/>
                      <w:snapToGrid w:val="0"/>
                      <w:kern w:val="0"/>
                      <w:szCs w:val="21"/>
                    </w:rPr>
                    <w:t>平方米的，应备有专供消防用的太平桶、积水桶（池）、黄砂池等器材设施，上述设施周围不得堆放其它物品；临时木工间、油漆间、木、机具间等，每</w:t>
                  </w:r>
                  <w:r>
                    <w:rPr>
                      <w:rFonts w:ascii="宋体" w:hAnsi="宋体" w:cs="宋体"/>
                      <w:snapToGrid w:val="0"/>
                      <w:kern w:val="0"/>
                      <w:szCs w:val="21"/>
                    </w:rPr>
                    <w:t>25</w:t>
                  </w:r>
                  <w:r>
                    <w:rPr>
                      <w:rFonts w:hint="eastAsia" w:ascii="宋体" w:hAnsi="宋体" w:cs="宋体"/>
                      <w:snapToGrid w:val="0"/>
                      <w:kern w:val="0"/>
                      <w:szCs w:val="21"/>
                    </w:rPr>
                    <w:t>平方米应配置一个种类合适的灭火器；</w:t>
                  </w:r>
                </w:p>
                <w:p>
                  <w:pPr>
                    <w:numPr>
                      <w:ilvl w:val="0"/>
                      <w:numId w:val="9"/>
                    </w:numPr>
                    <w:adjustRightInd w:val="0"/>
                    <w:snapToGrid w:val="0"/>
                    <w:ind w:left="0" w:firstLine="0"/>
                    <w:jc w:val="left"/>
                    <w:rPr>
                      <w:rFonts w:ascii="宋体" w:hAnsi="宋体" w:cs="宋体"/>
                      <w:snapToGrid w:val="0"/>
                      <w:kern w:val="0"/>
                      <w:szCs w:val="21"/>
                    </w:rPr>
                  </w:pPr>
                  <w:r>
                    <w:rPr>
                      <w:rFonts w:ascii="宋体" w:hAnsi="宋体" w:cs="宋体"/>
                      <w:snapToGrid w:val="0"/>
                      <w:kern w:val="0"/>
                      <w:szCs w:val="21"/>
                    </w:rPr>
                    <w:t>30</w:t>
                  </w:r>
                  <w:r>
                    <w:rPr>
                      <w:rFonts w:hint="eastAsia" w:ascii="宋体" w:hAnsi="宋体" w:cs="宋体"/>
                      <w:snapToGrid w:val="0"/>
                      <w:kern w:val="0"/>
                      <w:szCs w:val="21"/>
                    </w:rPr>
                    <w:t>米以上的高层建筑，要用</w:t>
                  </w:r>
                  <w:r>
                    <w:rPr>
                      <w:rFonts w:ascii="宋体" w:hAnsi="宋体" w:cs="宋体"/>
                      <w:snapToGrid w:val="0"/>
                      <w:kern w:val="0"/>
                      <w:szCs w:val="21"/>
                    </w:rPr>
                    <w:t>2</w:t>
                  </w:r>
                  <w:r>
                    <w:rPr>
                      <w:rFonts w:hint="eastAsia" w:ascii="宋体" w:hAnsi="宋体" w:cs="宋体"/>
                      <w:snapToGrid w:val="0"/>
                      <w:kern w:val="0"/>
                      <w:szCs w:val="21"/>
                    </w:rPr>
                    <w:t>寸立管，设加压泵，随层做消防水源管道，每层留有消防水源接口。</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4" o:spid="_x0000_s1344" o:spt="75" alt="DSC04251" type="#_x0000_t75" style="position:absolute;left:0pt;margin-left:7.1pt;margin-top:3.2pt;height:127.25pt;width:189.55pt;z-index:251667456;mso-width-relative:page;mso-height-relative:page;" filled="f" o:preferrelative="t" stroked="f" coordsize="21600,21600">
                        <v:path/>
                        <v:fill on="f" focussize="0,0"/>
                        <v:stroke on="f" joinstyle="miter"/>
                        <v:imagedata r:id="rId54" o:title="DSC0425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5" o:spid="_x0000_s1345" o:spt="75" alt="DSC09031" type="#_x0000_t75" style="position:absolute;left:0pt;margin-left:3.75pt;margin-top:5.05pt;height:113.2pt;width:136.35pt;z-index:251668480;mso-width-relative:page;mso-height-relative:page;" filled="f" o:preferrelative="t" stroked="f" coordsize="21600,21600">
                        <v:path/>
                        <v:fill on="f" focussize="0,0"/>
                        <v:stroke on="f" joinstyle="miter"/>
                        <v:imagedata r:id="rId55" o:title="DSC0903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 w:val="24"/>
                    </w:rPr>
                  </w:pPr>
                  <w:r>
                    <w:rPr>
                      <w:rFonts w:hint="eastAsia" w:ascii="宋体" w:hAnsi="宋体" w:cs="宋体"/>
                      <w:b/>
                      <w:snapToGrid w:val="0"/>
                      <w:kern w:val="0"/>
                      <w:szCs w:val="21"/>
                    </w:rPr>
                    <w:t>砂浆搅拌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总包的砂浆必须集中搅拌，悬挂方便操作的配比牌，砂浆搅拌机需设上料台，确保计量配比准确；</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搅拌站附近的沙石、水泥需集中堆放，要求总包修建堆放池集中堆放；</w:t>
                  </w:r>
                </w:p>
                <w:p>
                  <w:pPr>
                    <w:numPr>
                      <w:ilvl w:val="0"/>
                      <w:numId w:val="9"/>
                    </w:numPr>
                    <w:adjustRightInd w:val="0"/>
                    <w:snapToGrid w:val="0"/>
                    <w:ind w:left="0" w:firstLine="0"/>
                    <w:jc w:val="left"/>
                    <w:rPr>
                      <w:rFonts w:ascii="宋体" w:hAnsi="宋体"/>
                      <w:szCs w:val="21"/>
                    </w:rPr>
                  </w:pPr>
                  <w:r>
                    <w:rPr>
                      <w:rFonts w:hint="eastAsia" w:ascii="宋体" w:hAnsi="宋体" w:cs="宋体"/>
                      <w:snapToGrid w:val="0"/>
                      <w:kern w:val="0"/>
                      <w:szCs w:val="21"/>
                    </w:rPr>
                    <w:t>砂浆从集中搅拌站运至各作业面，作业面现场的砌筑和抹灰砂浆必须用专用容器装盛，严禁直接在作业地面搅拌和堆放；</w:t>
                  </w:r>
                </w:p>
                <w:p>
                  <w:pPr>
                    <w:numPr>
                      <w:ilvl w:val="1"/>
                      <w:numId w:val="0"/>
                    </w:numPr>
                    <w:tabs>
                      <w:tab w:val="left" w:pos="0"/>
                    </w:tabs>
                    <w:adjustRightInd w:val="0"/>
                    <w:snapToGrid w:val="0"/>
                    <w:jc w:val="left"/>
                    <w:rPr>
                      <w:rFonts w:ascii="宋体" w:hAnsi="宋体" w:cs="宋体"/>
                      <w:snapToGrid w:val="0"/>
                      <w:kern w:val="0"/>
                      <w:szCs w:val="21"/>
                    </w:rPr>
                  </w:pPr>
                  <w:r>
                    <w:rPr>
                      <w:rFonts w:ascii="宋体" w:hAnsi="宋体" w:cs="宋体"/>
                      <w:kern w:val="0"/>
                      <w:szCs w:val="21"/>
                    </w:rPr>
                    <w:pict>
                      <v:shape id="_x0000_s1346" o:spid="_x0000_s1346" o:spt="75" alt="IMG_0363" type="#_x0000_t75" style="position:absolute;left:0pt;margin-left:5.25pt;margin-top:3.4pt;height:105.15pt;width:198.75pt;z-index:251672576;mso-width-relative:page;mso-height-relative:page;" filled="f" o:preferrelative="t" stroked="f" coordsize="21600,21600">
                        <v:path/>
                        <v:fill on="f" focussize="0,0"/>
                        <v:stroke on="f" joinstyle="miter"/>
                        <v:imagedata r:id="rId56" o:title="IMG_0363"/>
                        <o:lock v:ext="edit" aspectratio="t"/>
                      </v:shape>
                    </w:pic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ind w:left="563" w:hanging="84"/>
                    <w:jc w:val="left"/>
                    <w:rPr>
                      <w:rFonts w:ascii="宋体" w:hAnsi="宋体" w:cs="宋体"/>
                      <w:snapToGrid w:val="0"/>
                      <w:kern w:val="0"/>
                      <w:szCs w:val="21"/>
                    </w:rPr>
                  </w:pPr>
                  <w:r>
                    <w:rPr>
                      <w:rFonts w:ascii="宋体" w:hAnsi="宋体"/>
                      <w:sz w:val="24"/>
                    </w:rPr>
                    <w:pict>
                      <v:shape id="_x0000_s1347" o:spid="_x0000_s1347" o:spt="75" type="#_x0000_t75" style="position:absolute;left:0pt;margin-left:1.05pt;margin-top:4.65pt;height:99.05pt;width:198.75pt;z-index:251671552;mso-width-relative:page;mso-height-relative:page;" filled="f" o:preferrelative="t" stroked="f" coordsize="21600,21600">
                        <v:path/>
                        <v:fill on="f" focussize="0,0"/>
                        <v:stroke on="f" joinstyle="miter"/>
                        <v:imagedata r:id="rId57" o:title=""/>
                        <o:lock v:ext="edit" aspectratio="t"/>
                      </v:shape>
                    </w:pic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ind w:left="552" w:hanging="73"/>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8" o:spid="_x0000_s1348" o:spt="75" alt="DSC08932" type="#_x0000_t75" style="position:absolute;left:0pt;margin-left:8.85pt;margin-top:2.75pt;height:148.3pt;width:180.3pt;z-index:251669504;mso-width-relative:page;mso-height-relative:page;" filled="f" o:preferrelative="t" stroked="f" coordsize="21600,21600">
                        <v:path/>
                        <v:fill on="f" focussize="0,0"/>
                        <v:stroke on="f" joinstyle="miter"/>
                        <v:imagedata r:id="rId58" o:title="DSC08932"/>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22" o:spid="_x0000_s1349" o:spt="75" alt="DSC09046" type="#_x0000_t75" style="position:absolute;left:0pt;margin-left:10.85pt;margin-top:2.7pt;height:135.6pt;width:178.3pt;z-index:251670528;mso-width-relative:page;mso-height-relative:page;" filled="f" o:preferrelative="t" stroked="f" coordsize="21600,21600">
                        <v:path/>
                        <v:fill on="f" focussize="0,0"/>
                        <v:stroke on="f" joinstyle="miter"/>
                        <v:imagedata r:id="rId47" o:title="DSC0904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bl>
          <w:p/>
        </w:tc>
      </w:tr>
      <w:tr>
        <w:tblPrEx>
          <w:tblLayout w:type="fixed"/>
          <w:tblCellMar>
            <w:top w:w="0" w:type="dxa"/>
            <w:left w:w="108" w:type="dxa"/>
            <w:bottom w:w="0" w:type="dxa"/>
            <w:right w:w="108" w:type="dxa"/>
          </w:tblCellMar>
        </w:tblPrEx>
        <w:trPr>
          <w:trHeight w:val="447" w:hRule="atLeast"/>
          <w:jc w:val="center"/>
        </w:trPr>
        <w:tc>
          <w:tcPr>
            <w:tcW w:w="10056" w:type="dxa"/>
            <w:gridSpan w:val="2"/>
          </w:tcPr>
          <w:p>
            <w:pPr>
              <w:spacing w:line="440" w:lineRule="exact"/>
              <w:jc w:val="center"/>
              <w:rPr>
                <w:rFonts w:ascii="宋体" w:hAnsi="宋体"/>
                <w:b/>
                <w:snapToGrid w:val="0"/>
                <w:sz w:val="30"/>
              </w:rPr>
            </w:pPr>
          </w:p>
        </w:tc>
      </w:tr>
    </w:tbl>
    <w:p>
      <w:pPr>
        <w:jc w:val="left"/>
        <w:rPr>
          <w:rFonts w:ascii="宋体" w:hAnsi="宋体"/>
          <w:snapToGrid w:val="0"/>
          <w:szCs w:val="21"/>
        </w:rPr>
      </w:pPr>
      <w:r>
        <w:rPr>
          <w:rFonts w:hint="eastAsia" w:ascii="宋体" w:hAnsi="宋体"/>
          <w:snapToGrid w:val="0"/>
          <w:szCs w:val="21"/>
        </w:rPr>
        <w:t>1、乙方未按本附件上述约定进行安全文明施工的，则甲方有权按附件五《工程施工管理条例》第46条对乙方处罚。</w:t>
      </w:r>
    </w:p>
    <w:p>
      <w:pPr>
        <w:jc w:val="left"/>
        <w:rPr>
          <w:rFonts w:ascii="宋体" w:hAnsi="宋体"/>
          <w:szCs w:val="21"/>
        </w:rPr>
      </w:pPr>
      <w:r>
        <w:rPr>
          <w:rFonts w:hint="eastAsia" w:ascii="宋体" w:hAnsi="宋体"/>
          <w:szCs w:val="21"/>
        </w:rPr>
        <w:t>2、本附件有关安全文明管理规定未尽事宜，应按相关国家规范规定和工程现场会议甲方通知要求的内容为准进行施工。</w:t>
      </w:r>
    </w:p>
    <w:p>
      <w:pPr>
        <w:pStyle w:val="23"/>
        <w:ind w:firstLine="482"/>
        <w:rPr>
          <w:rFonts w:ascii="宋体" w:hAnsi="宋体" w:cs="宋体"/>
          <w:b/>
          <w:sz w:val="24"/>
        </w:rPr>
      </w:pPr>
    </w:p>
    <w:p>
      <w:pPr>
        <w:pStyle w:val="361"/>
        <w:spacing w:line="360" w:lineRule="auto"/>
        <w:jc w:val="both"/>
        <w:rPr>
          <w:sz w:val="21"/>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    地址：</w:t>
      </w:r>
    </w:p>
    <w:p>
      <w:pPr>
        <w:tabs>
          <w:tab w:val="left" w:pos="525"/>
          <w:tab w:val="left" w:pos="1155"/>
        </w:tabs>
        <w:adjustRightInd w:val="0"/>
        <w:snapToGrid w:val="0"/>
        <w:rPr>
          <w:rFonts w:ascii="宋体" w:hAnsi="宋体"/>
          <w:szCs w:val="21"/>
        </w:rPr>
      </w:pPr>
      <w:r>
        <w:rPr>
          <w:rFonts w:hint="eastAsia" w:ascii="宋体" w:hAnsi="宋体"/>
          <w:szCs w:val="21"/>
          <w:u w:val="single"/>
        </w:rPr>
        <w:t>佛山市南海区禅碳路232号</w:t>
      </w: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sectPr>
          <w:footerReference r:id="rId19" w:type="first"/>
          <w:footerReference r:id="rId18" w:type="default"/>
          <w:pgSz w:w="11906" w:h="16838"/>
          <w:pgMar w:top="1440" w:right="1797" w:bottom="1440" w:left="1797" w:header="851" w:footer="992" w:gutter="0"/>
          <w:cols w:space="720" w:num="1"/>
          <w:titlePg/>
          <w:docGrid w:type="linesAndChars" w:linePitch="312" w:charSpace="0"/>
        </w:sectPr>
      </w:pPr>
      <w:r>
        <w:rPr>
          <w:rFonts w:hint="eastAsia" w:ascii="宋体" w:hAnsi="宋体"/>
          <w:szCs w:val="21"/>
        </w:rPr>
        <w:t>电子邮箱：                                  电子邮箱：</w:t>
      </w:r>
    </w:p>
    <w:p>
      <w:pPr>
        <w:tabs>
          <w:tab w:val="left" w:pos="525"/>
          <w:tab w:val="left" w:pos="1155"/>
        </w:tabs>
        <w:adjustRightInd w:val="0"/>
        <w:snapToGrid w:val="0"/>
        <w:rPr>
          <w:rFonts w:ascii="宋体" w:hAnsi="宋体"/>
          <w:szCs w:val="21"/>
        </w:rPr>
      </w:pPr>
      <w:r>
        <w:rPr>
          <w:rFonts w:hint="eastAsia" w:ascii="宋体" w:hAnsi="宋体" w:cs="宋体"/>
          <w:b/>
          <w:sz w:val="24"/>
        </w:rPr>
        <w:t>附</w:t>
      </w:r>
      <w:r>
        <w:rPr>
          <w:rFonts w:hint="eastAsia" w:ascii="宋体" w:hAnsi="宋体"/>
          <w:b/>
          <w:sz w:val="24"/>
        </w:rPr>
        <w:t>件五</w:t>
      </w:r>
    </w:p>
    <w:p>
      <w:pPr>
        <w:jc w:val="center"/>
        <w:rPr>
          <w:rFonts w:ascii="黑体" w:hAnsi="宋体" w:eastAsia="黑体" w:cs="宋体"/>
          <w:b/>
          <w:sz w:val="36"/>
          <w:szCs w:val="36"/>
        </w:rPr>
      </w:pPr>
      <w:r>
        <w:rPr>
          <w:rFonts w:hint="eastAsia" w:ascii="黑体" w:hAnsi="宋体" w:eastAsia="黑体" w:cs="宋体"/>
          <w:b/>
          <w:sz w:val="36"/>
          <w:szCs w:val="36"/>
        </w:rPr>
        <w:t>工程施工管理条例</w:t>
      </w:r>
    </w:p>
    <w:p>
      <w:pPr>
        <w:rPr>
          <w:rFonts w:ascii="宋体" w:hAnsi="宋体"/>
          <w:szCs w:val="21"/>
        </w:rPr>
      </w:pPr>
      <w:r>
        <w:rPr>
          <w:rFonts w:hint="eastAsia" w:ascii="宋体" w:hAnsi="宋体"/>
          <w:szCs w:val="21"/>
        </w:rPr>
        <w:t>为了加强工程施工管理，落实“安全预防为主的方针，”强化“高质素的工程质量”树立更高水平的品质理念，更有效的落实各项管理制度，制定本条例。</w:t>
      </w:r>
    </w:p>
    <w:p>
      <w:pPr>
        <w:numPr>
          <w:ilvl w:val="0"/>
          <w:numId w:val="10"/>
        </w:numPr>
        <w:ind w:left="0" w:firstLine="0"/>
        <w:rPr>
          <w:rFonts w:ascii="宋体" w:hAnsi="宋体"/>
          <w:szCs w:val="21"/>
        </w:rPr>
      </w:pPr>
      <w:r>
        <w:rPr>
          <w:rFonts w:hint="eastAsia" w:ascii="宋体" w:hAnsi="宋体"/>
          <w:szCs w:val="21"/>
        </w:rPr>
        <w:t>发现工地工人没戴安全帽处罚人民币</w:t>
      </w:r>
      <w:r>
        <w:rPr>
          <w:rFonts w:hint="eastAsia" w:ascii="宋体" w:hAnsi="宋体"/>
          <w:szCs w:val="21"/>
          <w:u w:val="single"/>
        </w:rPr>
        <w:t>100元/人/次</w:t>
      </w:r>
      <w:r>
        <w:rPr>
          <w:rFonts w:hint="eastAsia" w:ascii="宋体" w:hAnsi="宋体"/>
          <w:szCs w:val="21"/>
        </w:rPr>
        <w:t>，另佩戴安全帽没有扣安全带（帽上）处罚人民币</w:t>
      </w:r>
      <w:r>
        <w:rPr>
          <w:rFonts w:hint="eastAsia" w:ascii="宋体" w:hAnsi="宋体"/>
          <w:szCs w:val="21"/>
          <w:u w:val="single"/>
        </w:rPr>
        <w:t>100元/人/次</w:t>
      </w:r>
      <w:r>
        <w:rPr>
          <w:rFonts w:hint="eastAsia" w:ascii="宋体" w:hAnsi="宋体"/>
          <w:szCs w:val="21"/>
        </w:rPr>
        <w:t>；高空作业没有佩戴安全带处罚</w:t>
      </w:r>
      <w:r>
        <w:rPr>
          <w:rFonts w:hint="eastAsia" w:ascii="宋体" w:hAnsi="宋体"/>
          <w:szCs w:val="21"/>
          <w:u w:val="single"/>
        </w:rPr>
        <w:t>200元/人/次</w:t>
      </w:r>
      <w:r>
        <w:rPr>
          <w:rFonts w:hint="eastAsia" w:ascii="宋体" w:hAnsi="宋体"/>
          <w:szCs w:val="21"/>
        </w:rPr>
        <w:t>；穿拖鞋进入现场作业处罚人民币</w:t>
      </w:r>
      <w:r>
        <w:rPr>
          <w:rFonts w:hint="eastAsia" w:ascii="宋体" w:hAnsi="宋体"/>
          <w:szCs w:val="21"/>
          <w:u w:val="single"/>
        </w:rPr>
        <w:t>100元/人/次</w:t>
      </w:r>
      <w:r>
        <w:rPr>
          <w:rFonts w:hint="eastAsia" w:ascii="宋体" w:hAnsi="宋体"/>
          <w:szCs w:val="21"/>
        </w:rPr>
        <w:t>；未佩戴工作卡进出工地处罚人民币</w:t>
      </w:r>
      <w:r>
        <w:rPr>
          <w:rFonts w:hint="eastAsia" w:ascii="宋体" w:hAnsi="宋体"/>
          <w:szCs w:val="21"/>
          <w:u w:val="single"/>
        </w:rPr>
        <w:t>100元/人/次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工地现场值班，电工、安全员、施工员离岗（超过半个小时不在岗），发现一次处罚人民币</w:t>
      </w:r>
      <w:r>
        <w:rPr>
          <w:rFonts w:hint="eastAsia" w:ascii="宋体" w:hAnsi="宋体"/>
          <w:szCs w:val="21"/>
          <w:u w:val="single"/>
        </w:rPr>
        <w:t>100元/次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塔吊必须有专业人员指挥，司机无证上岗、指挥无证上岗、不配对讲机及发现无专人指挥每次处罚人民币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楼梯口无防护、预留洞口、坑井无防护、通道口无防护、阳台、屋面等无临时防护，并未在甲方及监理要求整改时间内完成整改工作，处罚人民币</w:t>
      </w:r>
      <w:r>
        <w:rPr>
          <w:rFonts w:hint="eastAsia" w:ascii="宋体" w:hAnsi="宋体"/>
          <w:szCs w:val="21"/>
          <w:u w:val="single"/>
        </w:rPr>
        <w:t>500元/处/次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进场材料未按规定要求通知监理、甲方验收的而擅自使用在工程上的处罚人民币</w:t>
      </w:r>
      <w:r>
        <w:rPr>
          <w:rFonts w:hint="eastAsia" w:ascii="宋体" w:hAnsi="宋体"/>
          <w:szCs w:val="21"/>
          <w:u w:val="single"/>
        </w:rPr>
        <w:t>500</w:t>
      </w:r>
      <w:r>
        <w:rPr>
          <w:rFonts w:hint="eastAsia" w:ascii="宋体" w:hAnsi="宋体"/>
          <w:szCs w:val="21"/>
        </w:rPr>
        <w:t>元/次。各种材料无及时按规定送检查或隐瞒检测结果，经发现处罚人民币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对甲方、监理提出的质量或安全文明施工整改通知未按时落实整改或未彻底落实整改的处罚人民币</w:t>
      </w:r>
      <w:r>
        <w:rPr>
          <w:rFonts w:hint="eastAsia" w:ascii="宋体" w:hAnsi="宋体"/>
          <w:szCs w:val="21"/>
          <w:u w:val="single"/>
        </w:rPr>
        <w:t>2000元/次</w:t>
      </w:r>
      <w:r>
        <w:rPr>
          <w:rFonts w:hint="eastAsia" w:ascii="宋体" w:hAnsi="宋体"/>
          <w:szCs w:val="21"/>
        </w:rPr>
        <w:t>，并应立即完成整改工作。</w:t>
      </w:r>
    </w:p>
    <w:p>
      <w:pPr>
        <w:numPr>
          <w:ilvl w:val="0"/>
          <w:numId w:val="10"/>
        </w:numPr>
        <w:ind w:left="0" w:firstLine="0"/>
        <w:rPr>
          <w:rFonts w:ascii="宋体" w:hAnsi="宋体"/>
          <w:szCs w:val="21"/>
        </w:rPr>
      </w:pPr>
      <w:r>
        <w:rPr>
          <w:rFonts w:hint="eastAsia" w:ascii="宋体" w:hAnsi="宋体"/>
          <w:szCs w:val="21"/>
        </w:rPr>
        <w:t>无理拒绝或拖延监理及甲方人员所下达的整改通知处罚人民币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甲方、监理方开出的罚款单不予接收的处罚为：该处罚单上的金额数再多加人民币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监理例会要求的参加人，未履行请假缺席会议，处罚人民币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监理例会中形成的决议，未履行或未彻底履行，处罚人民币</w:t>
      </w:r>
      <w:r>
        <w:rPr>
          <w:rFonts w:hint="eastAsia" w:ascii="宋体" w:hAnsi="宋体"/>
          <w:szCs w:val="21"/>
          <w:u w:val="single"/>
        </w:rPr>
        <w:t>500元/次</w:t>
      </w:r>
      <w:r>
        <w:rPr>
          <w:rFonts w:hint="eastAsia" w:ascii="宋体" w:hAnsi="宋体"/>
          <w:szCs w:val="21"/>
        </w:rPr>
        <w:t>，且并不免除其履行责任。</w:t>
      </w:r>
    </w:p>
    <w:p>
      <w:pPr>
        <w:numPr>
          <w:ilvl w:val="0"/>
          <w:numId w:val="10"/>
        </w:numPr>
        <w:ind w:left="0" w:firstLine="0"/>
        <w:rPr>
          <w:rFonts w:ascii="宋体" w:hAnsi="宋体"/>
          <w:szCs w:val="21"/>
        </w:rPr>
      </w:pPr>
      <w:r>
        <w:rPr>
          <w:rFonts w:hint="eastAsia" w:ascii="宋体" w:hAnsi="宋体"/>
          <w:szCs w:val="21"/>
        </w:rPr>
        <w:t>外脚手架安全网拉挂不严密，每处罚款人民币</w:t>
      </w:r>
      <w:r>
        <w:rPr>
          <w:rFonts w:hint="eastAsia" w:ascii="宋体" w:hAnsi="宋体"/>
          <w:szCs w:val="21"/>
          <w:u w:val="single"/>
        </w:rPr>
        <w:t>200~500元</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脚手架平桥上堆放材料杂物、卸荷钢丝绳松驰、及钢丝绳与连墙件未规范或按方案要求设置，经甲方或监理指正后不在要求期限内整改的处罚人民币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脚手架未按规范或方案要求设置平网、兜底网，立杆间距、平桥步距偏大，经甲方或监理指正后不在要求期限内整改的处罚人民币</w:t>
      </w:r>
      <w:r>
        <w:rPr>
          <w:rFonts w:hint="eastAsia" w:ascii="宋体" w:hAnsi="宋体"/>
          <w:szCs w:val="21"/>
          <w:u w:val="single"/>
        </w:rPr>
        <w:t>2000元/层</w:t>
      </w:r>
      <w:r>
        <w:rPr>
          <w:rFonts w:hint="eastAsia" w:ascii="宋体" w:hAnsi="宋体"/>
          <w:szCs w:val="21"/>
        </w:rPr>
        <w:t>；未按规范或方案要求设置剪刀撑及连墙件，经甲方或监理指正后不在要求期限内整改的处罚人民币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脚手架工程任何部位均严禁采用钢竹混搭（甲方同意除外），若有发现处罚人民币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柱、剪力墙纵筋偏位严重的罚款人民币</w:t>
      </w:r>
      <w:r>
        <w:rPr>
          <w:rFonts w:hint="eastAsia" w:ascii="宋体" w:hAnsi="宋体"/>
          <w:szCs w:val="21"/>
          <w:u w:val="single"/>
        </w:rPr>
        <w:t>100~300元/处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钢筋隐蔽验收过程中，甲方及监理提出的整改通知未积极落实整改或未彻底落实整改的处罚人民币</w:t>
      </w:r>
      <w:r>
        <w:rPr>
          <w:rFonts w:hint="eastAsia" w:ascii="宋体" w:hAnsi="宋体"/>
          <w:szCs w:val="21"/>
          <w:u w:val="single"/>
        </w:rPr>
        <w:t>1000元/次</w:t>
      </w:r>
      <w:r>
        <w:rPr>
          <w:rFonts w:hint="eastAsia" w:ascii="宋体" w:hAnsi="宋体"/>
          <w:szCs w:val="21"/>
        </w:rPr>
        <w:t>，并应立即整改完成。</w:t>
      </w:r>
    </w:p>
    <w:p>
      <w:pPr>
        <w:numPr>
          <w:ilvl w:val="0"/>
          <w:numId w:val="10"/>
        </w:numPr>
        <w:ind w:left="0" w:firstLine="0"/>
        <w:rPr>
          <w:rFonts w:ascii="宋体" w:hAnsi="宋体"/>
          <w:szCs w:val="21"/>
        </w:rPr>
      </w:pPr>
      <w:r>
        <w:rPr>
          <w:rFonts w:hint="eastAsia" w:ascii="宋体" w:hAnsi="宋体"/>
          <w:szCs w:val="21"/>
        </w:rPr>
        <w:t>构造柱钢筋未锚固在梁、板底的每根柱处罚人民币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浇筑砼前必须取得甲方及监理同意并签字确认的浇筑令后（特殊情况经甲方及监理口头同意后可先行浇筑），方能进行施工，未经甲方及监理同意强行擅自浇筑砼的，处罚人民币</w:t>
      </w:r>
      <w:r>
        <w:rPr>
          <w:rFonts w:hint="eastAsia" w:ascii="宋体" w:hAnsi="宋体"/>
          <w:szCs w:val="21"/>
          <w:u w:val="single"/>
        </w:rPr>
        <w:t>5000元/次</w:t>
      </w:r>
      <w:r>
        <w:rPr>
          <w:rFonts w:hint="eastAsia" w:ascii="宋体" w:hAnsi="宋体"/>
          <w:szCs w:val="21"/>
        </w:rPr>
        <w:t>，且该层主体结构不予验收，甲方有权拒付该层结构工程款。</w:t>
      </w:r>
    </w:p>
    <w:p>
      <w:pPr>
        <w:numPr>
          <w:ilvl w:val="0"/>
          <w:numId w:val="10"/>
        </w:numPr>
        <w:ind w:left="0" w:firstLine="0"/>
        <w:rPr>
          <w:rFonts w:ascii="宋体" w:hAnsi="宋体"/>
          <w:szCs w:val="21"/>
        </w:rPr>
      </w:pPr>
      <w:r>
        <w:rPr>
          <w:rFonts w:hint="eastAsia" w:ascii="宋体" w:hAnsi="宋体"/>
          <w:szCs w:val="21"/>
        </w:rPr>
        <w:t>浇捣砼时没有施工单位管理人员以及钢筋工、木工跟班（超过半小时脱岗）处罚人民币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各层楼面浇捣砼时无按规定拖平板震压的处罚人民币</w:t>
      </w:r>
      <w:r>
        <w:rPr>
          <w:rFonts w:hint="eastAsia" w:ascii="宋体" w:hAnsi="宋体"/>
          <w:szCs w:val="21"/>
          <w:u w:val="single"/>
        </w:rPr>
        <w:t>5000元/层</w:t>
      </w:r>
      <w:r>
        <w:rPr>
          <w:rFonts w:hint="eastAsia" w:ascii="宋体" w:hAnsi="宋体"/>
          <w:szCs w:val="21"/>
        </w:rPr>
        <w:t>，并且该层必须做回弹检测。</w:t>
      </w:r>
    </w:p>
    <w:p>
      <w:pPr>
        <w:numPr>
          <w:ilvl w:val="0"/>
          <w:numId w:val="10"/>
        </w:numPr>
        <w:ind w:left="0" w:firstLine="0"/>
        <w:rPr>
          <w:rFonts w:ascii="宋体" w:hAnsi="宋体"/>
          <w:szCs w:val="21"/>
        </w:rPr>
      </w:pPr>
      <w:r>
        <w:rPr>
          <w:rFonts w:hint="eastAsia" w:ascii="宋体" w:hAnsi="宋体"/>
          <w:szCs w:val="21"/>
        </w:rPr>
        <w:t>浇筑砼时未采取防雨及排水措施，造成砼表面积水反砂，观感质量差的，</w:t>
      </w:r>
      <w:r>
        <w:rPr>
          <w:rFonts w:hint="eastAsia" w:ascii="宋体" w:hAnsi="宋体"/>
          <w:szCs w:val="21"/>
          <w:u w:val="single"/>
        </w:rPr>
        <w:t>罚款人民币200/㎡</w:t>
      </w:r>
      <w:r>
        <w:rPr>
          <w:rFonts w:hint="eastAsia" w:ascii="宋体" w:hAnsi="宋体"/>
          <w:szCs w:val="21"/>
        </w:rPr>
        <w:t>元；且该层楼面要做二道水泥基防水处理。</w:t>
      </w:r>
    </w:p>
    <w:p>
      <w:pPr>
        <w:numPr>
          <w:ilvl w:val="0"/>
          <w:numId w:val="10"/>
        </w:numPr>
        <w:ind w:left="0" w:firstLine="0"/>
        <w:rPr>
          <w:rFonts w:ascii="宋体" w:hAnsi="宋体"/>
          <w:szCs w:val="21"/>
        </w:rPr>
      </w:pPr>
      <w:r>
        <w:rPr>
          <w:rFonts w:hint="eastAsia" w:ascii="宋体" w:hAnsi="宋体"/>
          <w:szCs w:val="21"/>
        </w:rPr>
        <w:t>浇筑砼时出现塌模的处罚人民币</w:t>
      </w:r>
      <w:r>
        <w:rPr>
          <w:rFonts w:hint="eastAsia" w:ascii="宋体" w:hAnsi="宋体"/>
          <w:szCs w:val="21"/>
          <w:u w:val="single"/>
        </w:rPr>
        <w:t>3000元/次</w:t>
      </w:r>
      <w:r>
        <w:rPr>
          <w:rFonts w:hint="eastAsia" w:ascii="宋体" w:hAnsi="宋体"/>
          <w:szCs w:val="21"/>
        </w:rPr>
        <w:t>，并要求立即处理完成。</w:t>
      </w:r>
    </w:p>
    <w:p>
      <w:pPr>
        <w:numPr>
          <w:ilvl w:val="0"/>
          <w:numId w:val="10"/>
        </w:numPr>
        <w:ind w:left="0" w:firstLine="0"/>
        <w:rPr>
          <w:rFonts w:ascii="宋体" w:hAnsi="宋体"/>
          <w:szCs w:val="21"/>
        </w:rPr>
      </w:pPr>
      <w:r>
        <w:rPr>
          <w:rFonts w:hint="eastAsia" w:ascii="宋体" w:hAnsi="宋体"/>
          <w:szCs w:val="21"/>
        </w:rPr>
        <w:t>成型砼蜂窝、麻面、狗洞及胀模严重的罚款人民币</w:t>
      </w:r>
      <w:r>
        <w:rPr>
          <w:rFonts w:hint="eastAsia" w:ascii="宋体" w:hAnsi="宋体"/>
          <w:szCs w:val="21"/>
          <w:u w:val="single"/>
        </w:rPr>
        <w:t>300~500元/处</w:t>
      </w:r>
      <w:r>
        <w:rPr>
          <w:rFonts w:hint="eastAsia" w:ascii="宋体" w:hAnsi="宋体"/>
          <w:szCs w:val="21"/>
        </w:rPr>
        <w:t>，砼楼板面出现严重裂缝（经鉴定属乙方责任的）罚款人民币</w:t>
      </w:r>
      <w:r>
        <w:rPr>
          <w:rFonts w:hint="eastAsia" w:ascii="宋体" w:hAnsi="宋体"/>
          <w:szCs w:val="21"/>
          <w:u w:val="single"/>
        </w:rPr>
        <w:t>2000元/处</w:t>
      </w:r>
      <w:r>
        <w:rPr>
          <w:rFonts w:hint="eastAsia" w:ascii="宋体" w:hAnsi="宋体"/>
          <w:szCs w:val="21"/>
        </w:rPr>
        <w:t>。并要求迅速制定加固、补强方案，通过甲方及监理或相关部门审批同意后立即处理，如处理不及时造成甲方经济损失的，处罚人民币</w:t>
      </w:r>
      <w:r>
        <w:rPr>
          <w:rFonts w:hint="eastAsia" w:ascii="宋体" w:hAnsi="宋体"/>
          <w:szCs w:val="21"/>
          <w:u w:val="single"/>
        </w:rPr>
        <w:t>20000元/次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楼面砼成型后同一标高完成面高低差超3cm以上的处罚人民币</w:t>
      </w:r>
      <w:r>
        <w:rPr>
          <w:rFonts w:hint="eastAsia" w:ascii="宋体" w:hAnsi="宋体"/>
          <w:szCs w:val="21"/>
          <w:u w:val="single"/>
        </w:rPr>
        <w:t>2000元/层</w:t>
      </w:r>
      <w:r>
        <w:rPr>
          <w:rFonts w:hint="eastAsia" w:ascii="宋体" w:hAnsi="宋体"/>
          <w:szCs w:val="21"/>
        </w:rPr>
        <w:t>，并要求该层用1：2.5水泥砂找平。</w:t>
      </w:r>
    </w:p>
    <w:p>
      <w:pPr>
        <w:numPr>
          <w:ilvl w:val="0"/>
          <w:numId w:val="10"/>
        </w:numPr>
        <w:ind w:left="0" w:firstLine="0"/>
        <w:rPr>
          <w:rFonts w:ascii="宋体" w:hAnsi="宋体"/>
          <w:szCs w:val="21"/>
        </w:rPr>
      </w:pPr>
      <w:r>
        <w:rPr>
          <w:rFonts w:hint="eastAsia" w:ascii="宋体" w:hAnsi="宋体"/>
          <w:szCs w:val="21"/>
        </w:rPr>
        <w:t>楼面砼成型后，表面脚印明显、平整度达不到规范要求的处罚人民币</w:t>
      </w:r>
      <w:r>
        <w:rPr>
          <w:rFonts w:hint="eastAsia" w:ascii="宋体" w:hAnsi="宋体"/>
          <w:szCs w:val="21"/>
          <w:u w:val="single"/>
        </w:rPr>
        <w:t>1000元/层</w:t>
      </w:r>
      <w:r>
        <w:rPr>
          <w:rFonts w:hint="eastAsia" w:ascii="宋体" w:hAnsi="宋体"/>
          <w:szCs w:val="21"/>
        </w:rPr>
        <w:t>，并要求该层用1：2.5水泥砂浆找平。</w:t>
      </w:r>
    </w:p>
    <w:p>
      <w:pPr>
        <w:numPr>
          <w:ilvl w:val="0"/>
          <w:numId w:val="10"/>
        </w:numPr>
        <w:ind w:left="0" w:firstLine="0"/>
        <w:rPr>
          <w:rFonts w:ascii="宋体" w:hAnsi="宋体"/>
          <w:szCs w:val="21"/>
        </w:rPr>
      </w:pPr>
      <w:r>
        <w:rPr>
          <w:rFonts w:hint="eastAsia" w:ascii="宋体" w:hAnsi="宋体"/>
          <w:szCs w:val="21"/>
        </w:rPr>
        <w:t>楼面砼浇筑完成后4小时内严禁上人、8小时内严禁上材料作业（冬季施工时时间适当延长，以甲方及监理单位要求为准），如有违规，经发现处罚人民币</w:t>
      </w:r>
      <w:r>
        <w:rPr>
          <w:rFonts w:hint="eastAsia" w:ascii="宋体" w:hAnsi="宋体"/>
          <w:szCs w:val="21"/>
          <w:u w:val="single"/>
        </w:rPr>
        <w:t>2000元/层</w:t>
      </w:r>
      <w:r>
        <w:rPr>
          <w:rFonts w:hint="eastAsia" w:ascii="宋体" w:hAnsi="宋体"/>
          <w:szCs w:val="21"/>
        </w:rPr>
        <w:t>，且该层必须进行实体检测。</w:t>
      </w:r>
    </w:p>
    <w:p>
      <w:pPr>
        <w:numPr>
          <w:ilvl w:val="0"/>
          <w:numId w:val="10"/>
        </w:numPr>
        <w:ind w:left="0" w:firstLine="0"/>
        <w:rPr>
          <w:rFonts w:ascii="宋体" w:hAnsi="宋体"/>
          <w:szCs w:val="21"/>
        </w:rPr>
      </w:pPr>
      <w:r>
        <w:rPr>
          <w:rFonts w:hint="eastAsia" w:ascii="宋体" w:hAnsi="宋体"/>
          <w:szCs w:val="21"/>
        </w:rPr>
        <w:t>每天上午10时前及下午4时前必须对需养护的砼淋透水养护一次，且养护期不少于7天，否则罚款人民币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拆除模板及模板支撑体系须提前通知甲方及监理，并获得甲方及监理同意，如未经同意提早拆除模板支撑承重顶架部分的罚款人民币</w:t>
      </w:r>
      <w:r>
        <w:rPr>
          <w:rFonts w:hint="eastAsia" w:ascii="宋体" w:hAnsi="宋体"/>
          <w:szCs w:val="21"/>
          <w:u w:val="single"/>
        </w:rPr>
        <w:t>1000~5000元/处</w:t>
      </w:r>
      <w:r>
        <w:rPr>
          <w:rFonts w:hint="eastAsia" w:ascii="宋体" w:hAnsi="宋体"/>
          <w:szCs w:val="21"/>
        </w:rPr>
        <w:t>；由于早拆模板或野蛮施工，造成砼崩缺的处罚金人民币</w:t>
      </w:r>
      <w:r>
        <w:rPr>
          <w:rFonts w:hint="eastAsia" w:ascii="宋体" w:hAnsi="宋体"/>
          <w:szCs w:val="21"/>
          <w:u w:val="single"/>
        </w:rPr>
        <w:t>500元/处，并不免除其维修责任</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不按规范及方案要求搭设模板支撑体系的处罚金500元/处。</w:t>
      </w:r>
    </w:p>
    <w:p>
      <w:pPr>
        <w:numPr>
          <w:ilvl w:val="0"/>
          <w:numId w:val="10"/>
        </w:numPr>
        <w:ind w:left="0" w:firstLine="0"/>
        <w:rPr>
          <w:rFonts w:ascii="宋体" w:hAnsi="宋体"/>
          <w:szCs w:val="21"/>
        </w:rPr>
      </w:pPr>
      <w:r>
        <w:rPr>
          <w:rFonts w:hint="eastAsia" w:ascii="宋体" w:hAnsi="宋体"/>
          <w:szCs w:val="21"/>
        </w:rPr>
        <w:t>砌体砖墙锚固筋每缺一道罚款人民币</w:t>
      </w:r>
      <w:r>
        <w:rPr>
          <w:rFonts w:hint="eastAsia" w:ascii="宋体" w:hAnsi="宋体"/>
          <w:szCs w:val="21"/>
          <w:u w:val="single"/>
        </w:rPr>
        <w:t>100元/处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砖砌体无按要求进行勾缝的处罚人民币</w:t>
      </w:r>
      <w:r>
        <w:rPr>
          <w:rFonts w:hint="eastAsia" w:ascii="宋体" w:hAnsi="宋体"/>
          <w:szCs w:val="21"/>
          <w:u w:val="single"/>
        </w:rPr>
        <w:t>5元/M</w:t>
      </w:r>
      <w:r>
        <w:rPr>
          <w:rFonts w:hint="eastAsia" w:ascii="宋体" w:hAnsi="宋体"/>
          <w:szCs w:val="21"/>
          <w:u w:val="single"/>
          <w:vertAlign w:val="superscript"/>
        </w:rPr>
        <w:t>2</w:t>
      </w:r>
      <w:r>
        <w:rPr>
          <w:rFonts w:hint="eastAsia" w:ascii="宋体" w:hAnsi="宋体"/>
          <w:szCs w:val="21"/>
          <w:u w:val="single"/>
        </w:rPr>
        <w:t>（按砌筑墙体面积计算）</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砖砌体出现通缝现象的处罚人民币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内、外墙批抹灰前无按规范要求淋水的处罚人民币</w:t>
      </w:r>
      <w:r>
        <w:rPr>
          <w:rFonts w:hint="eastAsia" w:ascii="宋体" w:hAnsi="宋体"/>
          <w:szCs w:val="21"/>
          <w:u w:val="single"/>
        </w:rPr>
        <w:t>500元/次</w:t>
      </w:r>
      <w:r>
        <w:rPr>
          <w:rFonts w:hint="eastAsia" w:ascii="宋体" w:hAnsi="宋体"/>
          <w:szCs w:val="21"/>
        </w:rPr>
        <w:t>，且当天所抹灰面积全部要求铲除重新施工，否则当天的抹灰工程量不确认；</w:t>
      </w:r>
    </w:p>
    <w:p>
      <w:pPr>
        <w:numPr>
          <w:ilvl w:val="0"/>
          <w:numId w:val="10"/>
        </w:numPr>
        <w:ind w:left="0" w:firstLine="0"/>
        <w:rPr>
          <w:rFonts w:ascii="宋体" w:hAnsi="宋体"/>
          <w:szCs w:val="21"/>
        </w:rPr>
      </w:pPr>
      <w:r>
        <w:rPr>
          <w:rFonts w:hint="eastAsia" w:ascii="宋体" w:hAnsi="宋体"/>
          <w:szCs w:val="21"/>
        </w:rPr>
        <w:t>内、外墙抹灰未按图纸要求挂网的处罚金人民币</w:t>
      </w:r>
      <w:r>
        <w:rPr>
          <w:rFonts w:hint="eastAsia" w:ascii="宋体" w:hAnsi="宋体"/>
          <w:szCs w:val="21"/>
          <w:u w:val="single"/>
        </w:rPr>
        <w:t>200元/㎡</w:t>
      </w:r>
      <w:r>
        <w:rPr>
          <w:rFonts w:hint="eastAsia" w:ascii="宋体" w:hAnsi="宋体"/>
          <w:szCs w:val="21"/>
        </w:rPr>
        <w:t>且必须按设计要求挂网；</w:t>
      </w:r>
    </w:p>
    <w:p>
      <w:pPr>
        <w:numPr>
          <w:ilvl w:val="0"/>
          <w:numId w:val="10"/>
        </w:numPr>
        <w:ind w:left="0" w:firstLine="0"/>
        <w:rPr>
          <w:rFonts w:ascii="宋体" w:hAnsi="宋体"/>
          <w:szCs w:val="21"/>
        </w:rPr>
      </w:pPr>
      <w:r>
        <w:rPr>
          <w:rFonts w:hint="eastAsia" w:ascii="宋体" w:hAnsi="宋体"/>
          <w:szCs w:val="21"/>
        </w:rPr>
        <w:t>内墙面抹灰应保证观感质量，对外露钢丝网、涨模砼不在抹灰前处理、抹灰面层反砂等影响观感质量的问题，经甲方或监理指正后不在要求期限内整改的处罚人民币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内、外墙抹灰层空鼓、裂缝的，经甲方或监理指正后不在要求期限内整改的处罚人民币</w:t>
      </w:r>
      <w:r>
        <w:rPr>
          <w:rFonts w:hint="eastAsia" w:ascii="宋体" w:hAnsi="宋体"/>
          <w:szCs w:val="21"/>
          <w:u w:val="single"/>
        </w:rPr>
        <w:t>300元/处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铝窗框塞（砂浆）缝，用于固定用的木块必须在砂浆凝固后马上取出，否则处罚人民币</w:t>
      </w:r>
      <w:r>
        <w:rPr>
          <w:rFonts w:hint="eastAsia" w:ascii="宋体" w:hAnsi="宋体"/>
          <w:szCs w:val="21"/>
          <w:u w:val="single"/>
        </w:rPr>
        <w:t>100元/块</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铝合金门窗框出厂时，应包扎保护材料。未包扎保护材料或未经甲方及监理同意擅自拆除的处罚</w:t>
      </w:r>
      <w:r>
        <w:rPr>
          <w:rFonts w:hint="eastAsia" w:ascii="宋体" w:hAnsi="宋体"/>
          <w:szCs w:val="21"/>
          <w:u w:val="single"/>
        </w:rPr>
        <w:t>500元/处/次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地下室、卫生间、厨房、阳台、外墙、天面等有防水要求部位出现渗漏，应48小时内处理，如不在时限内处理的处罚金人民币</w:t>
      </w:r>
      <w:r>
        <w:rPr>
          <w:rFonts w:hint="eastAsia" w:ascii="宋体" w:hAnsi="宋体"/>
          <w:szCs w:val="21"/>
          <w:u w:val="single"/>
        </w:rPr>
        <w:t>1000元/处</w:t>
      </w:r>
      <w:r>
        <w:rPr>
          <w:rFonts w:hint="eastAsia" w:ascii="宋体" w:hAnsi="宋体"/>
          <w:szCs w:val="21"/>
        </w:rPr>
        <w:t>。卫生间沉箱、厨房、阳台、外墙、天面必须按规范要求进行淋水或闭水试验，未进行试水的，处罚人民币</w:t>
      </w:r>
      <w:r>
        <w:rPr>
          <w:rFonts w:hint="eastAsia" w:ascii="宋体" w:hAnsi="宋体"/>
          <w:szCs w:val="21"/>
          <w:u w:val="single"/>
        </w:rPr>
        <w:t>1000元/处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未及时按甲方及监理要求提供施工计划、方案的，或方案未经相关部门审批、论证擅自施工的，处罚人民币</w:t>
      </w:r>
      <w:r>
        <w:rPr>
          <w:rFonts w:hint="eastAsia" w:ascii="宋体" w:hAnsi="宋体"/>
          <w:szCs w:val="21"/>
          <w:u w:val="single"/>
        </w:rPr>
        <w:t>2000元/次</w:t>
      </w:r>
      <w:r>
        <w:rPr>
          <w:rFonts w:hint="eastAsia" w:ascii="宋体" w:hAnsi="宋体"/>
          <w:szCs w:val="21"/>
        </w:rPr>
        <w:t>。甲方及监理单位要求提供的专项施工计划及方案，乙方屡次提交（两次以上含两次）均不符合要求的，处罚人民币2000元/次。</w:t>
      </w:r>
    </w:p>
    <w:p>
      <w:pPr>
        <w:numPr>
          <w:ilvl w:val="0"/>
          <w:numId w:val="10"/>
        </w:numPr>
        <w:ind w:left="0" w:firstLine="0"/>
        <w:rPr>
          <w:rFonts w:ascii="宋体" w:hAnsi="宋体"/>
          <w:szCs w:val="21"/>
        </w:rPr>
      </w:pPr>
      <w:r>
        <w:rPr>
          <w:rFonts w:hint="eastAsia" w:ascii="宋体" w:hAnsi="宋体"/>
          <w:szCs w:val="21"/>
        </w:rPr>
        <w:t>拒不执行甲方及监理单位下达合理停工令的，处罚人民币</w:t>
      </w:r>
      <w:r>
        <w:rPr>
          <w:rFonts w:hint="eastAsia" w:ascii="宋体" w:hAnsi="宋体"/>
          <w:szCs w:val="21"/>
          <w:u w:val="single"/>
        </w:rPr>
        <w:t>20000元/次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施工管理人员态度恶虐、专业水平差、工作配合程度差、拒不执行甲方及监理人员现场提出的整改要求的，处罚500~1000元/人次，且甲方有权要求乙方更换该人员。</w:t>
      </w:r>
    </w:p>
    <w:p>
      <w:pPr>
        <w:numPr>
          <w:ilvl w:val="0"/>
          <w:numId w:val="10"/>
        </w:numPr>
        <w:ind w:left="0" w:firstLine="0"/>
        <w:rPr>
          <w:rFonts w:ascii="宋体" w:hAnsi="宋体"/>
          <w:szCs w:val="21"/>
        </w:rPr>
      </w:pPr>
      <w:r>
        <w:rPr>
          <w:rFonts w:hint="eastAsia" w:ascii="宋体" w:hAnsi="宋体"/>
          <w:szCs w:val="21"/>
        </w:rPr>
        <w:t>施工班组施工水平差，经甲方及监理单位多次要求整改（三次或三次以上）均不能达到规范或方案施工验收要求的，处罚人民币</w:t>
      </w:r>
      <w:r>
        <w:rPr>
          <w:rFonts w:hint="eastAsia" w:ascii="宋体" w:hAnsi="宋体"/>
          <w:szCs w:val="21"/>
          <w:u w:val="single"/>
        </w:rPr>
        <w:t>3000元/次</w:t>
      </w:r>
      <w:r>
        <w:rPr>
          <w:rFonts w:hint="eastAsia" w:ascii="宋体" w:hAnsi="宋体"/>
          <w:szCs w:val="21"/>
        </w:rPr>
        <w:t>，且甲方有权要求施工单位更换该施工班组。</w:t>
      </w:r>
    </w:p>
    <w:p>
      <w:pPr>
        <w:numPr>
          <w:ilvl w:val="0"/>
          <w:numId w:val="10"/>
        </w:numPr>
        <w:ind w:left="0" w:firstLine="0"/>
        <w:rPr>
          <w:rFonts w:ascii="宋体" w:hAnsi="宋体"/>
          <w:szCs w:val="21"/>
        </w:rPr>
      </w:pPr>
      <w:r>
        <w:rPr>
          <w:rFonts w:hint="eastAsia" w:ascii="宋体" w:hAnsi="宋体"/>
          <w:szCs w:val="21"/>
        </w:rPr>
        <w:t>总包单位不履行合同规定：在分包单位进场时不提供水、电驳接口以及现场不提供机械垂直运输的处罚人民币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损坏现场成品除按价赔偿外还须处罚人民币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总包单位不按合同附件四的《施工现场安全文明管理规定》及项目所在地主管部门关于安全生产、文明施工的相关规定执行，处罚人民币</w:t>
      </w:r>
      <w:r>
        <w:rPr>
          <w:rFonts w:hint="eastAsia" w:ascii="宋体" w:hAnsi="宋体"/>
          <w:szCs w:val="21"/>
          <w:u w:val="single"/>
        </w:rPr>
        <w:t>2000元/处，</w:t>
      </w:r>
      <w:r>
        <w:rPr>
          <w:rFonts w:hint="eastAsia" w:ascii="宋体" w:hAnsi="宋体"/>
          <w:szCs w:val="21"/>
        </w:rPr>
        <w:t>且并不免除其履行责任。</w:t>
      </w:r>
    </w:p>
    <w:p>
      <w:pPr>
        <w:numPr>
          <w:ilvl w:val="0"/>
          <w:numId w:val="10"/>
        </w:numPr>
        <w:ind w:left="0" w:firstLine="0"/>
        <w:rPr>
          <w:rFonts w:ascii="宋体" w:hAnsi="宋体"/>
          <w:szCs w:val="21"/>
        </w:rPr>
      </w:pPr>
      <w:r>
        <w:rPr>
          <w:rFonts w:hint="eastAsia" w:ascii="宋体" w:hAnsi="宋体"/>
          <w:szCs w:val="21"/>
        </w:rPr>
        <w:t>电焊机裸露接线处铜线及使用电焊机、振动棒电机无采取绝缘措施而直接放在楼板钢筋面上，处罚人民币</w:t>
      </w:r>
      <w:r>
        <w:rPr>
          <w:rFonts w:hint="eastAsia" w:ascii="宋体" w:hAnsi="宋体"/>
          <w:szCs w:val="21"/>
          <w:u w:val="single"/>
        </w:rPr>
        <w:t>300元/次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施工电梯司机无证上岗处罚人民币</w:t>
      </w:r>
      <w:r>
        <w:rPr>
          <w:rFonts w:hint="eastAsia" w:ascii="宋体" w:hAnsi="宋体"/>
          <w:szCs w:val="21"/>
          <w:u w:val="single"/>
        </w:rPr>
        <w:t>200元/人/次</w:t>
      </w:r>
      <w:r>
        <w:rPr>
          <w:rFonts w:hint="eastAsia" w:ascii="宋体" w:hAnsi="宋体"/>
          <w:szCs w:val="21"/>
        </w:rPr>
        <w:t>；楼层防护门未常闭或关闭不严的，处罚人民币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地下室顶板面不得超过设计荷载限值堆放材料及行车，违反规定处罚人民币</w:t>
      </w:r>
      <w:r>
        <w:rPr>
          <w:rFonts w:hint="eastAsia" w:ascii="宋体" w:hAnsi="宋体"/>
          <w:szCs w:val="21"/>
          <w:u w:val="single"/>
        </w:rPr>
        <w:t>3000元/次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电线 、电缆拖地或无采取绝缘措施直接固定在剪力墙、柱钢筋上或外排栅钢管上，处罚金人民币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工地材料乱堆放；建筑垃圾乱堆放或未及时清理，且未按要求做到工完场清，经甲方或监理指正后不在要求期限内整改的处罚人民币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生活区室内脏乱差、乱拉乱接电线以及烧煮食的，处罚人民币</w:t>
      </w:r>
      <w:r>
        <w:rPr>
          <w:rFonts w:hint="eastAsia" w:ascii="宋体" w:hAnsi="宋体"/>
          <w:szCs w:val="21"/>
          <w:u w:val="single"/>
        </w:rPr>
        <w:t>300元/间</w:t>
      </w:r>
      <w:r>
        <w:rPr>
          <w:rFonts w:hint="eastAsia" w:ascii="宋体" w:hAnsi="宋体"/>
          <w:szCs w:val="21"/>
        </w:rPr>
        <w:t>。并限期整改。</w:t>
      </w:r>
    </w:p>
    <w:p>
      <w:pPr>
        <w:numPr>
          <w:ilvl w:val="0"/>
          <w:numId w:val="10"/>
        </w:numPr>
        <w:ind w:left="0" w:firstLine="0"/>
        <w:rPr>
          <w:rFonts w:ascii="宋体" w:hAnsi="宋体"/>
          <w:szCs w:val="21"/>
        </w:rPr>
      </w:pPr>
      <w:r>
        <w:rPr>
          <w:rFonts w:hint="eastAsia" w:ascii="宋体" w:hAnsi="宋体"/>
          <w:szCs w:val="21"/>
        </w:rPr>
        <w:t>施工现场随地大小便的，处罚人民币</w:t>
      </w:r>
      <w:r>
        <w:rPr>
          <w:rFonts w:hint="eastAsia" w:ascii="宋体" w:hAnsi="宋体"/>
          <w:szCs w:val="21"/>
          <w:u w:val="single"/>
        </w:rPr>
        <w:t>500元/人次</w:t>
      </w:r>
      <w:r>
        <w:rPr>
          <w:rFonts w:hint="eastAsia" w:ascii="宋体" w:hAnsi="宋体"/>
          <w:szCs w:val="21"/>
        </w:rPr>
        <w:t>。施工现场住宿、烧煮食的，处罚人民币</w:t>
      </w:r>
      <w:r>
        <w:rPr>
          <w:rFonts w:hint="eastAsia" w:ascii="宋体" w:hAnsi="宋体"/>
          <w:szCs w:val="21"/>
          <w:u w:val="single"/>
        </w:rPr>
        <w:t>500元/人次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未按要求做好样板房上方的防水措施，或未及时清理楼层积水，造成样板房渗漏或装修成品损坏的，处罚人民币</w:t>
      </w:r>
      <w:r>
        <w:rPr>
          <w:rFonts w:hint="eastAsia" w:ascii="宋体" w:hAnsi="宋体"/>
          <w:szCs w:val="21"/>
          <w:u w:val="single"/>
        </w:rPr>
        <w:t>2000元/次</w:t>
      </w:r>
      <w:r>
        <w:rPr>
          <w:rFonts w:hint="eastAsia" w:ascii="宋体" w:hAnsi="宋体"/>
          <w:szCs w:val="21"/>
        </w:rPr>
        <w:t>，并负责赔偿维修费用。</w:t>
      </w:r>
    </w:p>
    <w:p>
      <w:pPr>
        <w:numPr>
          <w:ilvl w:val="0"/>
          <w:numId w:val="10"/>
        </w:numPr>
        <w:ind w:left="0" w:firstLine="0"/>
        <w:rPr>
          <w:rFonts w:ascii="宋体" w:hAnsi="宋体"/>
          <w:szCs w:val="21"/>
        </w:rPr>
      </w:pPr>
      <w:r>
        <w:rPr>
          <w:rFonts w:hint="eastAsia" w:ascii="宋体" w:hAnsi="宋体"/>
          <w:szCs w:val="21"/>
        </w:rPr>
        <w:t>因质量、安全文明施工问题，造成在政府监督部门对工地进行停工、扣分处罚等现象的则视情节严重性对乙方处罚人民币</w:t>
      </w:r>
      <w:r>
        <w:rPr>
          <w:rFonts w:hint="eastAsia" w:ascii="宋体" w:hAnsi="宋体"/>
          <w:szCs w:val="21"/>
          <w:u w:val="single"/>
        </w:rPr>
        <w:t>5000-10000元</w:t>
      </w:r>
      <w:r>
        <w:rPr>
          <w:rFonts w:hint="eastAsia" w:ascii="宋体" w:hAnsi="宋体"/>
          <w:szCs w:val="21"/>
        </w:rPr>
        <w:t>。且相关停工和扣分造成损失由责任单位承担。</w:t>
      </w:r>
    </w:p>
    <w:p>
      <w:pPr>
        <w:numPr>
          <w:ilvl w:val="0"/>
          <w:numId w:val="10"/>
        </w:numPr>
        <w:ind w:left="0" w:firstLine="0"/>
        <w:rPr>
          <w:rFonts w:ascii="宋体" w:hAnsi="宋体"/>
          <w:szCs w:val="21"/>
        </w:rPr>
      </w:pPr>
      <w:r>
        <w:rPr>
          <w:rFonts w:hint="eastAsia" w:ascii="宋体" w:hAnsi="宋体"/>
          <w:szCs w:val="21"/>
        </w:rPr>
        <w:t>将工程移交物业公司时，施工单位管理人员及主要施工员需到场（甲方应提前8小时通知乙方），与甲方及物业公司办理移交手续。否则处罚人民币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乙方须按合同约定办理移交手续（符合竣工验收要求的所有工程资料及乙方承包范围内设备），第一次移交不符合要求，必须在甲方规定时间内再次办理移交，若第二次移交仍达不到移交标准条件，处罚人民币</w:t>
      </w:r>
      <w:r>
        <w:rPr>
          <w:rFonts w:hint="eastAsia" w:ascii="宋体" w:hAnsi="宋体"/>
          <w:szCs w:val="21"/>
          <w:u w:val="single"/>
        </w:rPr>
        <w:t>2000元/次</w:t>
      </w:r>
      <w:r>
        <w:rPr>
          <w:rFonts w:hint="eastAsia" w:ascii="宋体" w:hAnsi="宋体"/>
          <w:szCs w:val="21"/>
        </w:rPr>
        <w:t>，第三次开始，按</w:t>
      </w:r>
      <w:r>
        <w:rPr>
          <w:rFonts w:hint="eastAsia" w:ascii="宋体" w:hAnsi="宋体"/>
          <w:szCs w:val="21"/>
          <w:u w:val="single"/>
        </w:rPr>
        <w:t>5000元/次</w:t>
      </w:r>
      <w:r>
        <w:rPr>
          <w:rFonts w:hint="eastAsia" w:ascii="宋体" w:hAnsi="宋体"/>
          <w:szCs w:val="21"/>
        </w:rPr>
        <w:t>进行处罚，直至移交完成；</w:t>
      </w:r>
    </w:p>
    <w:p>
      <w:pPr>
        <w:numPr>
          <w:ilvl w:val="0"/>
          <w:numId w:val="10"/>
        </w:numPr>
        <w:ind w:left="0" w:firstLine="0"/>
        <w:rPr>
          <w:rFonts w:ascii="宋体" w:hAnsi="宋体"/>
          <w:szCs w:val="21"/>
        </w:rPr>
      </w:pPr>
      <w:r>
        <w:rPr>
          <w:rFonts w:hint="eastAsia" w:ascii="宋体" w:hAnsi="宋体"/>
          <w:szCs w:val="21"/>
        </w:rPr>
        <w:t>工程完成或移交后，收到整改、维修通知单，若超过24小时回复的，处罚人民币</w:t>
      </w:r>
      <w:r>
        <w:rPr>
          <w:rFonts w:hint="eastAsia" w:ascii="宋体" w:hAnsi="宋体"/>
          <w:szCs w:val="21"/>
          <w:u w:val="single"/>
        </w:rPr>
        <w:t>500元/次</w:t>
      </w:r>
      <w:r>
        <w:rPr>
          <w:rFonts w:hint="eastAsia" w:ascii="宋体" w:hAnsi="宋体"/>
          <w:szCs w:val="21"/>
        </w:rPr>
        <w:t>。超过48小时未回复或拒绝整改、维修的，处罚人民币</w:t>
      </w:r>
      <w:r>
        <w:rPr>
          <w:rFonts w:hint="eastAsia" w:ascii="宋体" w:hAnsi="宋体"/>
          <w:szCs w:val="21"/>
          <w:u w:val="single"/>
        </w:rPr>
        <w:t>3000元/次</w:t>
      </w:r>
      <w:r>
        <w:rPr>
          <w:rFonts w:hint="eastAsia" w:ascii="宋体" w:hAnsi="宋体"/>
          <w:szCs w:val="21"/>
        </w:rPr>
        <w:t>（由甲方视情况处罚），且甲方有权委托其他单位施工，全部费用直接由受委托单位报价确定，并在责任单位工程款中扣除；</w:t>
      </w:r>
    </w:p>
    <w:p>
      <w:pPr>
        <w:numPr>
          <w:ilvl w:val="0"/>
          <w:numId w:val="10"/>
        </w:numPr>
        <w:ind w:left="0" w:firstLine="0"/>
        <w:rPr>
          <w:rFonts w:ascii="宋体" w:hAnsi="宋体"/>
          <w:szCs w:val="21"/>
        </w:rPr>
      </w:pPr>
      <w:r>
        <w:rPr>
          <w:rFonts w:hint="eastAsia" w:ascii="宋体" w:hAnsi="宋体"/>
          <w:szCs w:val="21"/>
        </w:rPr>
        <w:t>工程维修、整改完成后，施工单位需自检合格后随同甲方及监理共同检查，如仍不符合设计图纸、合同及规范要求，处罚人民币</w:t>
      </w:r>
      <w:r>
        <w:rPr>
          <w:rFonts w:hint="eastAsia" w:ascii="宋体" w:hAnsi="宋体"/>
          <w:szCs w:val="21"/>
          <w:u w:val="single"/>
        </w:rPr>
        <w:t>1000元/次</w:t>
      </w:r>
      <w:r>
        <w:rPr>
          <w:rFonts w:hint="eastAsia" w:ascii="宋体" w:hAnsi="宋体"/>
          <w:szCs w:val="21"/>
        </w:rPr>
        <w:t>。超过约定整改、维修时间未完成的，处罚人民币</w:t>
      </w:r>
      <w:r>
        <w:rPr>
          <w:rFonts w:hint="eastAsia" w:ascii="宋体" w:hAnsi="宋体"/>
          <w:szCs w:val="21"/>
          <w:u w:val="single"/>
        </w:rPr>
        <w:t>100元/天</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对工程维修、整改过程中不配合现场管理做到工完场清的责任单位，处罚人民币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于甲方指定分包单位的施工场地移交，如经甲方及监理单位屡次（三次以上含三次）检查或要求整改均达不到移交条件的，处罚1000元/次。如在双方约定的移交时间仍不能满足移交条件的，处罚5000元/次，且甲方相关指定分包单位工期延误责任及损失由乙方承担。</w:t>
      </w:r>
    </w:p>
    <w:p>
      <w:pPr>
        <w:numPr>
          <w:ilvl w:val="0"/>
          <w:numId w:val="10"/>
        </w:numPr>
        <w:ind w:left="0" w:firstLine="0"/>
        <w:rPr>
          <w:rFonts w:ascii="宋体" w:hAnsi="宋体"/>
          <w:szCs w:val="21"/>
        </w:rPr>
      </w:pPr>
      <w:r>
        <w:rPr>
          <w:rFonts w:hint="eastAsia" w:ascii="宋体" w:hAnsi="宋体"/>
          <w:szCs w:val="21"/>
        </w:rPr>
        <w:t>各单项及分项工程均要求实行“样板引路”工作，并须得到甲方及监理或者政府相关监督部门书面认可，如拒不实施或拖延实施，则处罚5000元/次。如检查发现不按样板施工部位，则处罚人民币2000元/次，且须立即无条件按样板进行整改。</w:t>
      </w:r>
    </w:p>
    <w:p>
      <w:pPr>
        <w:numPr>
          <w:ilvl w:val="0"/>
          <w:numId w:val="10"/>
        </w:numPr>
        <w:ind w:left="0" w:firstLine="0"/>
        <w:rPr>
          <w:rFonts w:ascii="宋体" w:hAnsi="宋体"/>
          <w:szCs w:val="21"/>
        </w:rPr>
      </w:pPr>
      <w:r>
        <w:rPr>
          <w:rFonts w:hint="eastAsia" w:ascii="宋体" w:hAnsi="宋体"/>
          <w:szCs w:val="21"/>
        </w:rPr>
        <w:t>高空坠物处罚人民币1000元/次。</w:t>
      </w:r>
    </w:p>
    <w:p>
      <w:pPr>
        <w:numPr>
          <w:ilvl w:val="0"/>
          <w:numId w:val="10"/>
        </w:numPr>
        <w:ind w:left="0" w:firstLine="0"/>
        <w:rPr>
          <w:rFonts w:ascii="宋体" w:hAnsi="宋体"/>
          <w:szCs w:val="21"/>
        </w:rPr>
      </w:pPr>
      <w:r>
        <w:rPr>
          <w:rFonts w:hint="eastAsia" w:ascii="宋体" w:hAnsi="宋体"/>
          <w:szCs w:val="21"/>
        </w:rPr>
        <w:t>以上</w:t>
      </w:r>
      <w:r>
        <w:rPr>
          <w:rFonts w:hint="eastAsia" w:ascii="宋体" w:hAnsi="宋体" w:cs="宋体"/>
          <w:szCs w:val="21"/>
        </w:rPr>
        <w:t>罚款</w:t>
      </w:r>
      <w:r>
        <w:rPr>
          <w:rFonts w:hint="eastAsia" w:ascii="宋体" w:hAnsi="宋体"/>
          <w:szCs w:val="21"/>
        </w:rPr>
        <w:t>，监理单位</w:t>
      </w:r>
      <w:r>
        <w:rPr>
          <w:rFonts w:hint="eastAsia" w:ascii="宋体" w:hAnsi="宋体" w:cs="宋体"/>
          <w:szCs w:val="21"/>
        </w:rPr>
        <w:t>在</w:t>
      </w:r>
      <w:r>
        <w:rPr>
          <w:rFonts w:hint="eastAsia" w:ascii="宋体" w:hAnsi="宋体" w:cs="___WRD_EMBED_SUB_35"/>
          <w:szCs w:val="21"/>
        </w:rPr>
        <w:t>进度款申请报告批复时进行统计，甲方有权</w:t>
      </w:r>
      <w:r>
        <w:rPr>
          <w:rFonts w:hint="eastAsia" w:ascii="宋体" w:hAnsi="宋体" w:cs="宋体"/>
          <w:szCs w:val="21"/>
        </w:rPr>
        <w:t>在</w:t>
      </w:r>
      <w:r>
        <w:rPr>
          <w:rFonts w:hint="eastAsia" w:ascii="宋体" w:hAnsi="宋体" w:cs="___WRD_EMBED_SUB_35"/>
          <w:szCs w:val="21"/>
        </w:rPr>
        <w:t>工程进度款发放支付时直接扣除。</w:t>
      </w:r>
    </w:p>
    <w:p>
      <w:pPr>
        <w:pStyle w:val="361"/>
        <w:spacing w:line="360" w:lineRule="auto"/>
        <w:jc w:val="both"/>
        <w:rPr>
          <w:sz w:val="21"/>
          <w:szCs w:val="21"/>
        </w:rPr>
      </w:pPr>
    </w:p>
    <w:p>
      <w:pPr>
        <w:pStyle w:val="361"/>
        <w:tabs>
          <w:tab w:val="left" w:pos="3360"/>
        </w:tabs>
        <w:spacing w:line="360" w:lineRule="auto"/>
        <w:jc w:val="both"/>
        <w:rPr>
          <w:sz w:val="21"/>
          <w:szCs w:val="21"/>
        </w:rPr>
      </w:pPr>
      <w:r>
        <w:rPr>
          <w:sz w:val="21"/>
          <w:szCs w:val="21"/>
        </w:rPr>
        <w:tab/>
      </w: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u w:val="single"/>
        </w:rPr>
      </w:pPr>
      <w:r>
        <w:rPr>
          <w:rFonts w:hint="eastAsia" w:ascii="宋体" w:hAnsi="宋体"/>
          <w:szCs w:val="21"/>
          <w:u w:val="single"/>
        </w:rPr>
        <w:t>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pStyle w:val="361"/>
        <w:spacing w:line="360" w:lineRule="auto"/>
        <w:jc w:val="both"/>
        <w:rPr>
          <w:sz w:val="24"/>
        </w:rPr>
        <w:sectPr>
          <w:footerReference r:id="rId21" w:type="first"/>
          <w:footerReference r:id="rId20" w:type="default"/>
          <w:pgSz w:w="11906" w:h="16838"/>
          <w:pgMar w:top="1440" w:right="1797" w:bottom="1440" w:left="1797" w:header="851" w:footer="992" w:gutter="0"/>
          <w:cols w:space="720" w:num="1"/>
          <w:titlePg/>
          <w:docGrid w:type="linesAndChars" w:linePitch="312" w:charSpace="0"/>
        </w:sectPr>
      </w:pPr>
    </w:p>
    <w:p>
      <w:pPr>
        <w:pStyle w:val="361"/>
        <w:spacing w:line="360" w:lineRule="auto"/>
        <w:jc w:val="both"/>
        <w:rPr>
          <w:b w:val="0"/>
          <w:bCs w:val="0"/>
          <w:sz w:val="24"/>
        </w:rPr>
      </w:pPr>
      <w:r>
        <w:rPr>
          <w:rFonts w:hint="eastAsia"/>
          <w:sz w:val="24"/>
        </w:rPr>
        <w:t>附件六</w:t>
      </w:r>
    </w:p>
    <w:tbl>
      <w:tblPr>
        <w:tblStyle w:val="92"/>
        <w:tblpPr w:leftFromText="180" w:rightFromText="180" w:vertAnchor="text" w:horzAnchor="margin" w:tblpXSpec="center" w:tblpY="1139"/>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gridCol w:w="900"/>
        <w:gridCol w:w="900"/>
        <w:gridCol w:w="900"/>
        <w:gridCol w:w="180"/>
        <w:gridCol w:w="900"/>
        <w:gridCol w:w="720"/>
        <w:gridCol w:w="180"/>
        <w:gridCol w:w="1080"/>
        <w:gridCol w:w="720"/>
        <w:gridCol w:w="540"/>
        <w:gridCol w:w="18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exac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工 程</w:t>
            </w:r>
          </w:p>
          <w:p>
            <w:pPr>
              <w:adjustRightInd w:val="0"/>
              <w:snapToGrid w:val="0"/>
              <w:jc w:val="center"/>
              <w:rPr>
                <w:rFonts w:ascii="宋体" w:hAnsi="宋体"/>
                <w:sz w:val="18"/>
                <w:szCs w:val="18"/>
              </w:rPr>
            </w:pPr>
            <w:r>
              <w:rPr>
                <w:rFonts w:hint="eastAsia" w:ascii="宋体" w:hAnsi="宋体"/>
                <w:sz w:val="18"/>
                <w:szCs w:val="18"/>
              </w:rPr>
              <w:t>名 称</w:t>
            </w:r>
          </w:p>
        </w:tc>
        <w:tc>
          <w:tcPr>
            <w:tcW w:w="3780" w:type="dxa"/>
            <w:gridSpan w:val="5"/>
            <w:vAlign w:val="center"/>
          </w:tcPr>
          <w:p>
            <w:pPr>
              <w:adjustRightInd w:val="0"/>
              <w:snapToGrid w:val="0"/>
              <w:jc w:val="center"/>
              <w:rPr>
                <w:rFonts w:ascii="宋体" w:hAnsi="宋体"/>
                <w:sz w:val="18"/>
                <w:szCs w:val="18"/>
              </w:rPr>
            </w:pPr>
          </w:p>
        </w:tc>
        <w:tc>
          <w:tcPr>
            <w:tcW w:w="1620" w:type="dxa"/>
            <w:gridSpan w:val="2"/>
            <w:vAlign w:val="center"/>
          </w:tcPr>
          <w:p>
            <w:pPr>
              <w:adjustRightInd w:val="0"/>
              <w:snapToGrid w:val="0"/>
              <w:jc w:val="center"/>
              <w:rPr>
                <w:rFonts w:ascii="宋体" w:hAnsi="宋体"/>
                <w:sz w:val="18"/>
                <w:szCs w:val="18"/>
              </w:rPr>
            </w:pPr>
            <w:r>
              <w:rPr>
                <w:rFonts w:hint="eastAsia" w:ascii="宋体" w:hAnsi="宋体"/>
                <w:sz w:val="18"/>
                <w:szCs w:val="18"/>
              </w:rPr>
              <w:t>监理单位</w:t>
            </w:r>
          </w:p>
        </w:tc>
        <w:tc>
          <w:tcPr>
            <w:tcW w:w="3359" w:type="dxa"/>
            <w:gridSpan w:val="6"/>
            <w:tcBorders>
              <w:bottom w:val="single" w:color="auto" w:sz="4" w:space="0"/>
            </w:tcBorders>
            <w:vAlign w:val="center"/>
          </w:tcPr>
          <w:p>
            <w:pPr>
              <w:adjustRightInd w:val="0"/>
              <w:snapToGrid w:val="0"/>
              <w:jc w:val="center"/>
              <w:rPr>
                <w:rFonts w:ascii="宋体" w:hAnsi="宋体" w:cs="宋体"/>
                <w:sz w:val="18"/>
                <w:szCs w:val="18"/>
              </w:rPr>
            </w:pPr>
            <w:r>
              <w:rPr>
                <w:rFonts w:hint="eastAsia" w:ascii="宋体" w:hAnsi="宋体"/>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7" w:hRule="atLeas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施 工</w:t>
            </w:r>
          </w:p>
          <w:p>
            <w:pPr>
              <w:adjustRightInd w:val="0"/>
              <w:snapToGrid w:val="0"/>
              <w:jc w:val="center"/>
              <w:rPr>
                <w:rFonts w:ascii="宋体" w:hAnsi="宋体"/>
                <w:sz w:val="18"/>
                <w:szCs w:val="18"/>
              </w:rPr>
            </w:pPr>
            <w:r>
              <w:rPr>
                <w:rFonts w:hint="eastAsia" w:ascii="宋体" w:hAnsi="宋体"/>
                <w:sz w:val="18"/>
                <w:szCs w:val="18"/>
              </w:rPr>
              <w:t>单 位</w:t>
            </w:r>
          </w:p>
        </w:tc>
        <w:tc>
          <w:tcPr>
            <w:tcW w:w="3780" w:type="dxa"/>
            <w:gridSpan w:val="5"/>
            <w:vAlign w:val="center"/>
          </w:tcPr>
          <w:p>
            <w:pPr>
              <w:adjustRightInd w:val="0"/>
              <w:snapToGrid w:val="0"/>
              <w:jc w:val="center"/>
              <w:rPr>
                <w:rFonts w:ascii="宋体" w:hAnsi="宋体" w:cs="宋体"/>
                <w:sz w:val="18"/>
                <w:szCs w:val="18"/>
              </w:rPr>
            </w:pPr>
          </w:p>
        </w:tc>
        <w:tc>
          <w:tcPr>
            <w:tcW w:w="1620" w:type="dxa"/>
            <w:gridSpan w:val="2"/>
            <w:vAlign w:val="center"/>
          </w:tcPr>
          <w:p>
            <w:pPr>
              <w:adjustRightInd w:val="0"/>
              <w:snapToGrid w:val="0"/>
              <w:jc w:val="center"/>
              <w:rPr>
                <w:rFonts w:ascii="宋体" w:hAnsi="宋体"/>
                <w:sz w:val="18"/>
                <w:szCs w:val="18"/>
              </w:rPr>
            </w:pPr>
            <w:r>
              <w:rPr>
                <w:rFonts w:hint="eastAsia" w:ascii="宋体" w:hAnsi="宋体"/>
                <w:sz w:val="18"/>
                <w:szCs w:val="18"/>
              </w:rPr>
              <w:t>建筑面积</w:t>
            </w:r>
          </w:p>
          <w:p>
            <w:pPr>
              <w:adjustRightInd w:val="0"/>
              <w:snapToGrid w:val="0"/>
              <w:jc w:val="center"/>
              <w:rPr>
                <w:rFonts w:ascii="宋体" w:hAnsi="宋体"/>
                <w:sz w:val="18"/>
                <w:szCs w:val="18"/>
              </w:rPr>
            </w:pPr>
            <w:r>
              <w:rPr>
                <w:rFonts w:hint="eastAsia" w:ascii="宋体" w:hAnsi="宋体"/>
                <w:sz w:val="18"/>
                <w:szCs w:val="18"/>
              </w:rPr>
              <w:t>（m</w:t>
            </w:r>
            <w:r>
              <w:rPr>
                <w:rFonts w:hint="eastAsia" w:ascii="宋体" w:hAnsi="宋体"/>
                <w:sz w:val="18"/>
                <w:szCs w:val="18"/>
                <w:vertAlign w:val="superscript"/>
              </w:rPr>
              <w:t>2</w:t>
            </w:r>
            <w:r>
              <w:rPr>
                <w:rFonts w:hint="eastAsia" w:ascii="宋体" w:hAnsi="宋体"/>
                <w:sz w:val="18"/>
                <w:szCs w:val="18"/>
              </w:rPr>
              <w:t>）</w:t>
            </w:r>
          </w:p>
        </w:tc>
        <w:tc>
          <w:tcPr>
            <w:tcW w:w="1260" w:type="dxa"/>
            <w:gridSpan w:val="2"/>
            <w:vAlign w:val="center"/>
          </w:tcPr>
          <w:p>
            <w:pPr>
              <w:adjustRightInd w:val="0"/>
              <w:snapToGrid w:val="0"/>
              <w:jc w:val="center"/>
              <w:rPr>
                <w:rFonts w:ascii="宋体" w:hAnsi="宋体"/>
                <w:sz w:val="18"/>
                <w:szCs w:val="18"/>
              </w:rPr>
            </w:pPr>
          </w:p>
        </w:tc>
        <w:tc>
          <w:tcPr>
            <w:tcW w:w="1260" w:type="dxa"/>
            <w:gridSpan w:val="2"/>
            <w:vAlign w:val="center"/>
          </w:tcPr>
          <w:p>
            <w:pPr>
              <w:adjustRightInd w:val="0"/>
              <w:snapToGrid w:val="0"/>
              <w:jc w:val="center"/>
              <w:rPr>
                <w:rFonts w:ascii="宋体" w:hAnsi="宋体"/>
                <w:sz w:val="18"/>
                <w:szCs w:val="18"/>
              </w:rPr>
            </w:pPr>
            <w:r>
              <w:rPr>
                <w:rFonts w:hint="eastAsia" w:ascii="宋体" w:hAnsi="宋体"/>
                <w:sz w:val="18"/>
                <w:szCs w:val="18"/>
              </w:rPr>
              <w:t>结构类型</w:t>
            </w:r>
          </w:p>
        </w:tc>
        <w:tc>
          <w:tcPr>
            <w:tcW w:w="839" w:type="dxa"/>
            <w:gridSpan w:val="2"/>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exact"/>
        </w:trPr>
        <w:tc>
          <w:tcPr>
            <w:tcW w:w="1008" w:type="dxa"/>
            <w:vMerge w:val="restart"/>
            <w:vAlign w:val="center"/>
          </w:tcPr>
          <w:p>
            <w:pPr>
              <w:adjustRightInd w:val="0"/>
              <w:snapToGrid w:val="0"/>
              <w:jc w:val="center"/>
              <w:rPr>
                <w:rFonts w:ascii="宋体" w:hAnsi="宋体"/>
                <w:sz w:val="18"/>
                <w:szCs w:val="18"/>
              </w:rPr>
            </w:pPr>
            <w:r>
              <w:rPr>
                <w:rFonts w:hint="eastAsia" w:ascii="宋体" w:hAnsi="宋体"/>
                <w:sz w:val="18"/>
                <w:szCs w:val="18"/>
              </w:rPr>
              <w:t>总计得分（满</w:t>
            </w:r>
          </w:p>
          <w:p>
            <w:pPr>
              <w:adjustRightInd w:val="0"/>
              <w:snapToGrid w:val="0"/>
              <w:jc w:val="center"/>
              <w:rPr>
                <w:rFonts w:ascii="宋体" w:hAnsi="宋体"/>
                <w:sz w:val="18"/>
                <w:szCs w:val="18"/>
              </w:rPr>
            </w:pPr>
            <w:r>
              <w:rPr>
                <w:rFonts w:hint="eastAsia" w:ascii="宋体" w:hAnsi="宋体"/>
                <w:sz w:val="18"/>
                <w:szCs w:val="18"/>
              </w:rPr>
              <w:t>分分值为100分）</w:t>
            </w:r>
          </w:p>
        </w:tc>
        <w:tc>
          <w:tcPr>
            <w:tcW w:w="8759" w:type="dxa"/>
            <w:gridSpan w:val="13"/>
            <w:vAlign w:val="center"/>
          </w:tcPr>
          <w:p>
            <w:pPr>
              <w:adjustRightInd w:val="0"/>
              <w:snapToGrid w:val="0"/>
              <w:jc w:val="center"/>
              <w:rPr>
                <w:rFonts w:ascii="宋体" w:hAnsi="宋体"/>
                <w:sz w:val="18"/>
                <w:szCs w:val="18"/>
              </w:rPr>
            </w:pPr>
            <w:r>
              <w:rPr>
                <w:rFonts w:hint="eastAsia" w:ascii="宋体" w:hAnsi="宋体"/>
                <w:sz w:val="18"/>
                <w:szCs w:val="18"/>
              </w:rPr>
              <w:t>项  目  名  称  及  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10" w:hRule="atLeast"/>
        </w:trPr>
        <w:tc>
          <w:tcPr>
            <w:tcW w:w="1008" w:type="dxa"/>
            <w:vMerge w:val="continue"/>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安全</w:t>
            </w:r>
          </w:p>
          <w:p>
            <w:pPr>
              <w:adjustRightInd w:val="0"/>
              <w:snapToGrid w:val="0"/>
              <w:jc w:val="center"/>
              <w:rPr>
                <w:rFonts w:ascii="宋体" w:hAnsi="宋体"/>
                <w:sz w:val="18"/>
                <w:szCs w:val="18"/>
              </w:rPr>
            </w:pPr>
            <w:r>
              <w:rPr>
                <w:rFonts w:hint="eastAsia" w:ascii="宋体" w:hAnsi="宋体"/>
                <w:sz w:val="18"/>
                <w:szCs w:val="18"/>
              </w:rPr>
              <w:t>管理</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文明</w:t>
            </w:r>
          </w:p>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为20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脚手架</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分值为10分）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基坑支</w:t>
            </w:r>
          </w:p>
          <w:p>
            <w:pPr>
              <w:adjustRightInd w:val="0"/>
              <w:snapToGrid w:val="0"/>
              <w:jc w:val="center"/>
              <w:rPr>
                <w:rFonts w:ascii="宋体" w:hAnsi="宋体"/>
                <w:sz w:val="18"/>
                <w:szCs w:val="18"/>
              </w:rPr>
            </w:pPr>
            <w:r>
              <w:rPr>
                <w:rFonts w:hint="eastAsia" w:ascii="宋体" w:hAnsi="宋体"/>
                <w:sz w:val="18"/>
                <w:szCs w:val="18"/>
              </w:rPr>
              <w:t>护与模</w:t>
            </w:r>
          </w:p>
          <w:p>
            <w:pPr>
              <w:adjustRightInd w:val="0"/>
              <w:snapToGrid w:val="0"/>
              <w:jc w:val="center"/>
              <w:rPr>
                <w:rFonts w:ascii="宋体" w:hAnsi="宋体"/>
                <w:sz w:val="18"/>
                <w:szCs w:val="18"/>
              </w:rPr>
            </w:pPr>
            <w:r>
              <w:rPr>
                <w:rFonts w:hint="eastAsia" w:ascii="宋体" w:hAnsi="宋体"/>
                <w:sz w:val="18"/>
                <w:szCs w:val="18"/>
              </w:rPr>
              <w:t>板工程</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分值为10分）</w:t>
            </w:r>
          </w:p>
        </w:tc>
        <w:tc>
          <w:tcPr>
            <w:tcW w:w="1080" w:type="dxa"/>
            <w:gridSpan w:val="2"/>
            <w:vAlign w:val="center"/>
          </w:tcPr>
          <w:p>
            <w:pPr>
              <w:adjustRightInd w:val="0"/>
              <w:snapToGrid w:val="0"/>
              <w:jc w:val="center"/>
              <w:rPr>
                <w:rFonts w:ascii="宋体" w:hAnsi="宋体"/>
                <w:sz w:val="18"/>
                <w:szCs w:val="18"/>
              </w:rPr>
            </w:pPr>
            <w:r>
              <w:rPr>
                <w:rFonts w:hint="eastAsia" w:ascii="宋体" w:hAnsi="宋体"/>
                <w:sz w:val="18"/>
                <w:szCs w:val="18"/>
              </w:rPr>
              <w:t>“三宝”、“四口”</w:t>
            </w:r>
          </w:p>
          <w:p>
            <w:pPr>
              <w:adjustRightInd w:val="0"/>
              <w:snapToGrid w:val="0"/>
              <w:jc w:val="center"/>
              <w:rPr>
                <w:rFonts w:ascii="宋体" w:hAnsi="宋体"/>
                <w:sz w:val="18"/>
                <w:szCs w:val="18"/>
              </w:rPr>
            </w:pPr>
            <w:r>
              <w:rPr>
                <w:rFonts w:hint="eastAsia" w:ascii="宋体" w:hAnsi="宋体"/>
                <w:sz w:val="18"/>
                <w:szCs w:val="18"/>
              </w:rPr>
              <w:t>防护</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gridSpan w:val="2"/>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用电</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1080" w:type="dxa"/>
            <w:vAlign w:val="center"/>
          </w:tcPr>
          <w:p>
            <w:pPr>
              <w:adjustRightInd w:val="0"/>
              <w:snapToGrid w:val="0"/>
              <w:jc w:val="center"/>
              <w:rPr>
                <w:rFonts w:ascii="宋体" w:hAnsi="宋体"/>
                <w:sz w:val="18"/>
                <w:szCs w:val="18"/>
              </w:rPr>
            </w:pPr>
            <w:r>
              <w:rPr>
                <w:rFonts w:hint="eastAsia" w:ascii="宋体" w:hAnsi="宋体"/>
                <w:sz w:val="18"/>
                <w:szCs w:val="18"/>
              </w:rPr>
              <w:t>物料提升机与外用电梯（满</w:t>
            </w:r>
          </w:p>
          <w:p>
            <w:pPr>
              <w:adjustRightInd w:val="0"/>
              <w:snapToGrid w:val="0"/>
              <w:rPr>
                <w:rFonts w:ascii="宋体" w:hAnsi="宋体"/>
                <w:sz w:val="18"/>
                <w:szCs w:val="18"/>
              </w:rPr>
            </w:pPr>
            <w:r>
              <w:rPr>
                <w:rFonts w:hint="eastAsia" w:ascii="宋体" w:hAnsi="宋体"/>
                <w:sz w:val="18"/>
                <w:szCs w:val="18"/>
              </w:rPr>
              <w:t>分分值为10分）</w:t>
            </w:r>
          </w:p>
        </w:tc>
        <w:tc>
          <w:tcPr>
            <w:tcW w:w="720" w:type="dxa"/>
            <w:vAlign w:val="center"/>
          </w:tcPr>
          <w:p>
            <w:pPr>
              <w:adjustRightInd w:val="0"/>
              <w:snapToGrid w:val="0"/>
              <w:jc w:val="center"/>
              <w:rPr>
                <w:rFonts w:ascii="宋体" w:hAnsi="宋体"/>
                <w:sz w:val="18"/>
                <w:szCs w:val="18"/>
              </w:rPr>
            </w:pPr>
            <w:r>
              <w:rPr>
                <w:rFonts w:hint="eastAsia" w:ascii="宋体" w:hAnsi="宋体"/>
                <w:sz w:val="18"/>
                <w:szCs w:val="18"/>
              </w:rPr>
              <w:t>塔吊</w:t>
            </w:r>
          </w:p>
          <w:p>
            <w:pPr>
              <w:adjustRightInd w:val="0"/>
              <w:snapToGrid w:val="0"/>
              <w:jc w:val="center"/>
              <w:rPr>
                <w:rFonts w:ascii="宋体" w:hAnsi="宋体"/>
                <w:sz w:val="18"/>
                <w:szCs w:val="18"/>
              </w:rPr>
            </w:pPr>
            <w:r>
              <w:rPr>
                <w:rFonts w:hint="eastAsia" w:ascii="宋体" w:hAnsi="宋体"/>
                <w:sz w:val="18"/>
                <w:szCs w:val="18"/>
              </w:rPr>
              <w:t>（满</w:t>
            </w:r>
          </w:p>
          <w:p>
            <w:pPr>
              <w:adjustRightInd w:val="0"/>
              <w:snapToGrid w:val="0"/>
              <w:jc w:val="center"/>
              <w:rPr>
                <w:rFonts w:ascii="宋体" w:hAnsi="宋体"/>
                <w:sz w:val="18"/>
                <w:szCs w:val="18"/>
              </w:rPr>
            </w:pPr>
            <w:r>
              <w:rPr>
                <w:rFonts w:hint="eastAsia" w:ascii="宋体" w:hAnsi="宋体"/>
                <w:sz w:val="18"/>
                <w:szCs w:val="18"/>
              </w:rPr>
              <w:t>分分</w:t>
            </w:r>
          </w:p>
          <w:p>
            <w:pPr>
              <w:adjustRightInd w:val="0"/>
              <w:snapToGrid w:val="0"/>
              <w:jc w:val="center"/>
              <w:rPr>
                <w:rFonts w:ascii="宋体" w:hAnsi="宋体"/>
                <w:sz w:val="18"/>
                <w:szCs w:val="18"/>
              </w:rPr>
            </w:pPr>
            <w:r>
              <w:rPr>
                <w:rFonts w:hint="eastAsia" w:ascii="宋体" w:hAnsi="宋体"/>
                <w:sz w:val="18"/>
                <w:szCs w:val="18"/>
              </w:rPr>
              <w:t>值为</w:t>
            </w:r>
          </w:p>
          <w:p>
            <w:pPr>
              <w:adjustRightInd w:val="0"/>
              <w:snapToGrid w:val="0"/>
              <w:jc w:val="center"/>
              <w:rPr>
                <w:rFonts w:ascii="宋体" w:hAnsi="宋体"/>
                <w:sz w:val="18"/>
                <w:szCs w:val="18"/>
              </w:rPr>
            </w:pPr>
            <w:r>
              <w:rPr>
                <w:rFonts w:hint="eastAsia" w:ascii="宋体" w:hAnsi="宋体"/>
                <w:sz w:val="18"/>
                <w:szCs w:val="18"/>
              </w:rPr>
              <w:t>10分）</w:t>
            </w:r>
          </w:p>
        </w:tc>
        <w:tc>
          <w:tcPr>
            <w:tcW w:w="720" w:type="dxa"/>
            <w:gridSpan w:val="2"/>
            <w:vAlign w:val="center"/>
          </w:tcPr>
          <w:p>
            <w:pPr>
              <w:adjustRightInd w:val="0"/>
              <w:snapToGrid w:val="0"/>
              <w:jc w:val="center"/>
              <w:rPr>
                <w:rFonts w:ascii="宋体" w:hAnsi="宋体"/>
                <w:sz w:val="18"/>
                <w:szCs w:val="18"/>
              </w:rPr>
            </w:pPr>
            <w:r>
              <w:rPr>
                <w:rFonts w:hint="eastAsia" w:ascii="宋体" w:hAnsi="宋体"/>
                <w:sz w:val="18"/>
                <w:szCs w:val="18"/>
              </w:rPr>
              <w:t>起重</w:t>
            </w:r>
          </w:p>
          <w:p>
            <w:pPr>
              <w:adjustRightInd w:val="0"/>
              <w:snapToGrid w:val="0"/>
              <w:jc w:val="center"/>
              <w:rPr>
                <w:rFonts w:ascii="宋体" w:hAnsi="宋体"/>
                <w:sz w:val="18"/>
                <w:szCs w:val="18"/>
              </w:rPr>
            </w:pPr>
            <w:r>
              <w:rPr>
                <w:rFonts w:hint="eastAsia" w:ascii="宋体" w:hAnsi="宋体"/>
                <w:sz w:val="18"/>
                <w:szCs w:val="18"/>
              </w:rPr>
              <w:t>吊装（满分分值为</w:t>
            </w:r>
          </w:p>
          <w:p>
            <w:pPr>
              <w:adjustRightInd w:val="0"/>
              <w:snapToGrid w:val="0"/>
              <w:jc w:val="center"/>
              <w:rPr>
                <w:rFonts w:ascii="宋体" w:hAnsi="宋体"/>
                <w:sz w:val="18"/>
                <w:szCs w:val="18"/>
              </w:rPr>
            </w:pPr>
            <w:r>
              <w:rPr>
                <w:rFonts w:hint="eastAsia" w:ascii="宋体" w:hAnsi="宋体"/>
                <w:sz w:val="18"/>
                <w:szCs w:val="18"/>
              </w:rPr>
              <w:t>5分）</w:t>
            </w:r>
          </w:p>
        </w:tc>
        <w:tc>
          <w:tcPr>
            <w:tcW w:w="659" w:type="dxa"/>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机具（满分分值为5分）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exact"/>
        </w:trPr>
        <w:tc>
          <w:tcPr>
            <w:tcW w:w="1008"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1080" w:type="dxa"/>
            <w:gridSpan w:val="2"/>
            <w:vAlign w:val="center"/>
          </w:tcPr>
          <w:p>
            <w:pPr>
              <w:adjustRightInd w:val="0"/>
              <w:snapToGrid w:val="0"/>
              <w:jc w:val="center"/>
              <w:rPr>
                <w:rFonts w:ascii="宋体" w:hAnsi="宋体"/>
                <w:sz w:val="18"/>
                <w:szCs w:val="18"/>
              </w:rPr>
            </w:pPr>
          </w:p>
        </w:tc>
        <w:tc>
          <w:tcPr>
            <w:tcW w:w="900" w:type="dxa"/>
            <w:gridSpan w:val="2"/>
            <w:vAlign w:val="center"/>
          </w:tcPr>
          <w:p>
            <w:pPr>
              <w:adjustRightInd w:val="0"/>
              <w:snapToGrid w:val="0"/>
              <w:jc w:val="center"/>
              <w:rPr>
                <w:rFonts w:ascii="宋体" w:hAnsi="宋体"/>
                <w:sz w:val="18"/>
                <w:szCs w:val="18"/>
              </w:rPr>
            </w:pPr>
          </w:p>
        </w:tc>
        <w:tc>
          <w:tcPr>
            <w:tcW w:w="1080" w:type="dxa"/>
            <w:vAlign w:val="center"/>
          </w:tcPr>
          <w:p>
            <w:pPr>
              <w:adjustRightInd w:val="0"/>
              <w:snapToGrid w:val="0"/>
              <w:jc w:val="center"/>
              <w:rPr>
                <w:rFonts w:ascii="宋体" w:hAnsi="宋体"/>
                <w:sz w:val="18"/>
                <w:szCs w:val="18"/>
              </w:rPr>
            </w:pPr>
          </w:p>
        </w:tc>
        <w:tc>
          <w:tcPr>
            <w:tcW w:w="720" w:type="dxa"/>
            <w:vAlign w:val="center"/>
          </w:tcPr>
          <w:p>
            <w:pPr>
              <w:adjustRightInd w:val="0"/>
              <w:snapToGrid w:val="0"/>
              <w:jc w:val="center"/>
              <w:rPr>
                <w:rFonts w:ascii="宋体" w:hAnsi="宋体"/>
                <w:sz w:val="18"/>
                <w:szCs w:val="18"/>
              </w:rPr>
            </w:pPr>
          </w:p>
        </w:tc>
        <w:tc>
          <w:tcPr>
            <w:tcW w:w="720" w:type="dxa"/>
            <w:gridSpan w:val="2"/>
            <w:vAlign w:val="center"/>
          </w:tcPr>
          <w:p>
            <w:pPr>
              <w:adjustRightInd w:val="0"/>
              <w:snapToGrid w:val="0"/>
              <w:jc w:val="center"/>
              <w:rPr>
                <w:rFonts w:ascii="宋体" w:hAnsi="宋体"/>
                <w:sz w:val="18"/>
                <w:szCs w:val="18"/>
              </w:rPr>
            </w:pPr>
          </w:p>
        </w:tc>
        <w:tc>
          <w:tcPr>
            <w:tcW w:w="659" w:type="dxa"/>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5" w:hRule="atLeas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检查</w:t>
            </w:r>
          </w:p>
          <w:p>
            <w:pPr>
              <w:adjustRightInd w:val="0"/>
              <w:snapToGrid w:val="0"/>
              <w:jc w:val="center"/>
              <w:rPr>
                <w:rFonts w:ascii="宋体" w:hAnsi="宋体"/>
                <w:sz w:val="18"/>
                <w:szCs w:val="18"/>
              </w:rPr>
            </w:pPr>
            <w:r>
              <w:rPr>
                <w:rFonts w:hint="eastAsia" w:ascii="宋体" w:hAnsi="宋体"/>
                <w:sz w:val="18"/>
                <w:szCs w:val="18"/>
              </w:rPr>
              <w:t>结果</w:t>
            </w:r>
          </w:p>
        </w:tc>
        <w:tc>
          <w:tcPr>
            <w:tcW w:w="8759" w:type="dxa"/>
            <w:gridSpan w:val="13"/>
            <w:vAlign w:val="center"/>
          </w:tcPr>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项目经理：                                         年    月   日</w:t>
            </w:r>
          </w:p>
          <w:p>
            <w:pPr>
              <w:adjustRightInd w:val="0"/>
              <w:snapToGrid w:val="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0" w:hRule="atLeast"/>
        </w:trPr>
        <w:tc>
          <w:tcPr>
            <w:tcW w:w="1008" w:type="dxa"/>
            <w:tcBorders>
              <w:bottom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建设</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w:t>
            </w:r>
          </w:p>
          <w:p>
            <w:pPr>
              <w:adjustRightInd w:val="0"/>
              <w:snapToGrid w:val="0"/>
              <w:jc w:val="center"/>
              <w:rPr>
                <w:rFonts w:ascii="宋体" w:hAnsi="宋体"/>
                <w:sz w:val="18"/>
                <w:szCs w:val="18"/>
              </w:rPr>
            </w:pPr>
            <w:r>
              <w:rPr>
                <w:rFonts w:hint="eastAsia" w:ascii="宋体" w:hAnsi="宋体"/>
                <w:sz w:val="18"/>
                <w:szCs w:val="18"/>
              </w:rPr>
              <w:t>监理</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检查</w:t>
            </w:r>
          </w:p>
          <w:p>
            <w:pPr>
              <w:adjustRightInd w:val="0"/>
              <w:snapToGrid w:val="0"/>
              <w:jc w:val="center"/>
              <w:rPr>
                <w:rFonts w:ascii="宋体" w:hAnsi="宋体"/>
                <w:sz w:val="18"/>
                <w:szCs w:val="18"/>
              </w:rPr>
            </w:pPr>
            <w:r>
              <w:rPr>
                <w:rFonts w:hint="eastAsia" w:ascii="宋体" w:hAnsi="宋体"/>
                <w:sz w:val="18"/>
                <w:szCs w:val="18"/>
              </w:rPr>
              <w:t>意见</w:t>
            </w:r>
          </w:p>
        </w:tc>
        <w:tc>
          <w:tcPr>
            <w:tcW w:w="8759" w:type="dxa"/>
            <w:gridSpan w:val="13"/>
            <w:tcBorders>
              <w:bottom w:val="single" w:color="auto" w:sz="4" w:space="0"/>
            </w:tcBorders>
            <w:vAlign w:val="center"/>
          </w:tcPr>
          <w:p>
            <w:pPr>
              <w:adjustRightInd w:val="0"/>
              <w:snapToGrid w:val="0"/>
              <w:jc w:val="center"/>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建设单位项目负责人</w:t>
            </w:r>
          </w:p>
          <w:p>
            <w:pPr>
              <w:adjustRightInd w:val="0"/>
              <w:snapToGrid w:val="0"/>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监理单位总监理工程师（或专业监理工程师）：                  年    月    日</w:t>
            </w:r>
          </w:p>
          <w:p>
            <w:pPr>
              <w:adjustRightInd w:val="0"/>
              <w:snapToGrid w:val="0"/>
              <w:rPr>
                <w:rFonts w:ascii="宋体" w:hAnsi="宋体"/>
                <w:sz w:val="18"/>
                <w:szCs w:val="18"/>
              </w:rPr>
            </w:pPr>
          </w:p>
        </w:tc>
      </w:tr>
    </w:tbl>
    <w:p>
      <w:pPr>
        <w:tabs>
          <w:tab w:val="center" w:pos="4818"/>
        </w:tabs>
        <w:jc w:val="center"/>
        <w:rPr>
          <w:rFonts w:ascii="黑体" w:eastAsia="黑体"/>
          <w:b/>
          <w:bCs/>
          <w:sz w:val="36"/>
          <w:szCs w:val="36"/>
        </w:rPr>
      </w:pPr>
      <w:r>
        <w:rPr>
          <w:rFonts w:hint="eastAsia" w:ascii="黑体" w:eastAsia="黑体"/>
          <w:b/>
          <w:bCs/>
          <w:sz w:val="36"/>
          <w:szCs w:val="36"/>
        </w:rPr>
        <w:t>建筑施工安全检查评分汇总表</w:t>
      </w:r>
    </w:p>
    <w:p>
      <w:pPr>
        <w:tabs>
          <w:tab w:val="center" w:pos="4818"/>
        </w:tabs>
        <w:jc w:val="center"/>
        <w:rPr>
          <w:rFonts w:ascii="黑体" w:eastAsia="黑体"/>
          <w:b/>
          <w:bCs/>
          <w:sz w:val="36"/>
          <w:szCs w:val="36"/>
        </w:rPr>
      </w:pPr>
    </w:p>
    <w:p>
      <w:pPr>
        <w:rPr>
          <w:vanish/>
        </w:rPr>
      </w:pPr>
    </w:p>
    <w:p>
      <w:pPr>
        <w:adjustRightInd w:val="0"/>
        <w:snapToGrid w:val="0"/>
        <w:rPr>
          <w:rFonts w:ascii="宋体" w:hAnsi="宋体"/>
          <w:b/>
          <w:sz w:val="18"/>
          <w:szCs w:val="18"/>
        </w:rPr>
      </w:pPr>
    </w:p>
    <w:p>
      <w:pPr>
        <w:adjustRightInd w:val="0"/>
        <w:snapToGrid w:val="0"/>
        <w:rPr>
          <w:rFonts w:ascii="宋体" w:hAnsi="宋体"/>
          <w:b/>
          <w:szCs w:val="21"/>
        </w:rPr>
      </w:pPr>
      <w:r>
        <w:rPr>
          <w:rFonts w:hint="eastAsia" w:ascii="宋体" w:hAnsi="宋体"/>
          <w:b/>
          <w:szCs w:val="21"/>
        </w:rPr>
        <w:t>说明：</w:t>
      </w:r>
    </w:p>
    <w:p>
      <w:pPr>
        <w:adjustRightInd w:val="0"/>
        <w:snapToGrid w:val="0"/>
        <w:ind w:firstLine="413" w:firstLineChars="197"/>
        <w:rPr>
          <w:rFonts w:ascii="宋体" w:hAnsi="宋体"/>
          <w:szCs w:val="21"/>
        </w:rPr>
      </w:pPr>
      <w:r>
        <w:rPr>
          <w:rFonts w:hint="eastAsia" w:ascii="宋体" w:hAnsi="宋体"/>
          <w:szCs w:val="21"/>
        </w:rPr>
        <w:t>1、安全检查评分按《建筑施工安全检查标准》JGJ59-99进行阶段评价检查应由建设单位项目负责人、监理单位总监理工程师签署意见。</w:t>
      </w:r>
    </w:p>
    <w:p>
      <w:pPr>
        <w:adjustRightInd w:val="0"/>
        <w:snapToGrid w:val="0"/>
        <w:ind w:firstLine="413" w:firstLineChars="197"/>
        <w:rPr>
          <w:rFonts w:ascii="宋体" w:hAnsi="宋体"/>
          <w:szCs w:val="21"/>
        </w:rPr>
        <w:sectPr>
          <w:footerReference r:id="rId23" w:type="first"/>
          <w:footerReference r:id="rId22" w:type="default"/>
          <w:pgSz w:w="11906" w:h="16838"/>
          <w:pgMar w:top="1440" w:right="1797" w:bottom="1440" w:left="1797" w:header="851" w:footer="992" w:gutter="0"/>
          <w:cols w:space="720" w:num="1"/>
          <w:titlePg/>
          <w:docGrid w:type="linesAndChars" w:linePitch="312" w:charSpace="0"/>
        </w:sectPr>
      </w:pPr>
    </w:p>
    <w:p>
      <w:pPr>
        <w:adjustRightInd w:val="0"/>
        <w:snapToGrid w:val="0"/>
        <w:ind w:firstLine="413" w:firstLineChars="197"/>
        <w:rPr>
          <w:rFonts w:ascii="宋体" w:hAnsi="宋体"/>
          <w:szCs w:val="21"/>
        </w:rPr>
      </w:pPr>
      <w:r>
        <w:rPr>
          <w:rFonts w:hint="eastAsia" w:ascii="宋体" w:hAnsi="宋体"/>
          <w:szCs w:val="21"/>
        </w:rPr>
        <w:t>2、评分原则：</w:t>
      </w:r>
    </w:p>
    <w:p>
      <w:pPr>
        <w:adjustRightInd w:val="0"/>
        <w:snapToGrid w:val="0"/>
        <w:ind w:firstLine="413" w:firstLineChars="197"/>
        <w:rPr>
          <w:rFonts w:ascii="宋体" w:hAnsi="宋体"/>
          <w:szCs w:val="21"/>
        </w:rPr>
      </w:pPr>
      <w:r>
        <w:rPr>
          <w:rFonts w:hint="eastAsia" w:ascii="宋体" w:hAnsi="宋体"/>
          <w:szCs w:val="21"/>
        </w:rPr>
        <w:t xml:space="preserve">按月度进行安全文明生产检查并评分，按省统表评分标准进行统一评分。汇总表评分75分以上（含75分）为及格。 </w:t>
      </w:r>
    </w:p>
    <w:p>
      <w:pPr>
        <w:adjustRightInd w:val="0"/>
        <w:snapToGrid w:val="0"/>
        <w:ind w:firstLine="413" w:firstLineChars="197"/>
        <w:rPr>
          <w:rFonts w:ascii="宋体" w:hAnsi="宋体"/>
          <w:szCs w:val="21"/>
        </w:rPr>
      </w:pPr>
      <w:r>
        <w:rPr>
          <w:rFonts w:hint="eastAsia" w:ascii="宋体" w:hAnsi="宋体"/>
          <w:szCs w:val="21"/>
        </w:rPr>
        <w:t>（1）安全管理评分表和文明施工评分表必须得分率保证在75%以上，否则汇总表得分为不及格；</w:t>
      </w:r>
    </w:p>
    <w:p>
      <w:pPr>
        <w:adjustRightInd w:val="0"/>
        <w:snapToGrid w:val="0"/>
        <w:ind w:firstLine="413" w:firstLineChars="197"/>
        <w:rPr>
          <w:rFonts w:ascii="宋体" w:hAnsi="宋体"/>
          <w:szCs w:val="21"/>
        </w:rPr>
      </w:pPr>
      <w:r>
        <w:rPr>
          <w:rFonts w:hint="eastAsia" w:ascii="宋体" w:hAnsi="宋体"/>
          <w:szCs w:val="21"/>
        </w:rPr>
        <w:t>（2）每一单项评分表中的保证项目不能为零分，否则该表为零分；如有任何单项评分表为零分，则汇总表得分为不及格；</w:t>
      </w:r>
    </w:p>
    <w:p>
      <w:pPr>
        <w:adjustRightInd w:val="0"/>
        <w:snapToGrid w:val="0"/>
        <w:ind w:firstLine="413" w:firstLineChars="197"/>
        <w:rPr>
          <w:rFonts w:ascii="宋体" w:hAnsi="宋体"/>
          <w:szCs w:val="21"/>
        </w:rPr>
      </w:pPr>
      <w:r>
        <w:rPr>
          <w:rFonts w:hint="eastAsia" w:ascii="宋体" w:hAnsi="宋体"/>
          <w:szCs w:val="21"/>
        </w:rPr>
        <w:t>（3）每一单项评分表的得分率应保证在75%以上，否则该单项评分表为不及格。</w:t>
      </w:r>
    </w:p>
    <w:p>
      <w:pPr>
        <w:adjustRightInd w:val="0"/>
        <w:snapToGrid w:val="0"/>
        <w:ind w:firstLine="420" w:firstLineChars="200"/>
        <w:rPr>
          <w:rFonts w:ascii="宋体" w:hAnsi="宋体"/>
          <w:szCs w:val="21"/>
        </w:rPr>
      </w:pPr>
      <w:r>
        <w:rPr>
          <w:rFonts w:hint="eastAsia" w:ascii="宋体" w:hAnsi="宋体"/>
          <w:szCs w:val="21"/>
        </w:rPr>
        <w:t>3、处罚规定：</w:t>
      </w:r>
    </w:p>
    <w:p>
      <w:pPr>
        <w:adjustRightInd w:val="0"/>
        <w:snapToGrid w:val="0"/>
        <w:ind w:firstLine="420" w:firstLineChars="200"/>
        <w:rPr>
          <w:rFonts w:ascii="宋体" w:hAnsi="宋体"/>
          <w:szCs w:val="21"/>
        </w:rPr>
      </w:pPr>
      <w:r>
        <w:rPr>
          <w:rFonts w:hint="eastAsia" w:ascii="宋体" w:hAnsi="宋体"/>
          <w:szCs w:val="21"/>
        </w:rPr>
        <w:t>月度评分结果如不及格（75分以下），则处罚2万元/次。且该评分结果直接与进度款挂钩，如申报进度款时，应统计施工单位该季度与上季度月度评分情况汇总并进行加权平均计量得分，如评分结果为不及格（75分以下），则处罚人民币10万元/次，并直接在该次进度款支付时扣除。</w:t>
      </w:r>
    </w:p>
    <w:p>
      <w:pPr>
        <w:adjustRightInd w:val="0"/>
        <w:snapToGrid w:val="0"/>
        <w:rPr>
          <w:rFonts w:ascii="宋体" w:hAnsi="宋体"/>
          <w:sz w:val="18"/>
          <w:szCs w:val="18"/>
        </w:rPr>
      </w:pPr>
    </w:p>
    <w:p>
      <w:pPr>
        <w:pStyle w:val="42"/>
        <w:adjustRightInd w:val="0"/>
        <w:snapToGrid w:val="0"/>
        <w:jc w:val="left"/>
        <w:rPr>
          <w:rFonts w:hAnsi="宋体"/>
          <w:sz w:val="18"/>
          <w:szCs w:val="18"/>
        </w:rPr>
      </w:pPr>
    </w:p>
    <w:p>
      <w:pPr>
        <w:pStyle w:val="361"/>
        <w:spacing w:line="360" w:lineRule="auto"/>
        <w:jc w:val="both"/>
        <w:rPr>
          <w:sz w:val="21"/>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_佛山市南海恒德胜嘉置业有限公司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rPr>
      </w:pPr>
      <w:r>
        <w:rPr>
          <w:rFonts w:hint="eastAsia" w:ascii="宋体" w:hAnsi="宋体"/>
          <w:szCs w:val="21"/>
        </w:rPr>
        <w:t xml:space="preserve">      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tabs>
          <w:tab w:val="left" w:pos="525"/>
          <w:tab w:val="left" w:pos="1155"/>
        </w:tabs>
        <w:adjustRightInd w:val="0"/>
        <w:snapToGrid w:val="0"/>
        <w:rPr>
          <w:rFonts w:ascii="宋体" w:hAnsi="宋体"/>
          <w:b/>
          <w:sz w:val="24"/>
        </w:rPr>
        <w:sectPr>
          <w:footerReference r:id="rId25" w:type="first"/>
          <w:footerReference r:id="rId24" w:type="default"/>
          <w:pgSz w:w="11906" w:h="16838"/>
          <w:pgMar w:top="1440" w:right="1797" w:bottom="1440" w:left="1797" w:header="851" w:footer="992" w:gutter="0"/>
          <w:cols w:space="720" w:num="1"/>
          <w:docGrid w:type="linesAndChars" w:linePitch="312" w:charSpace="0"/>
        </w:sectPr>
      </w:pPr>
    </w:p>
    <w:p>
      <w:pPr>
        <w:tabs>
          <w:tab w:val="left" w:pos="525"/>
          <w:tab w:val="left" w:pos="1155"/>
        </w:tabs>
        <w:adjustRightInd w:val="0"/>
        <w:snapToGrid w:val="0"/>
        <w:rPr>
          <w:rFonts w:ascii="宋体" w:hAnsi="宋体"/>
          <w:b/>
          <w:sz w:val="24"/>
        </w:rPr>
      </w:pPr>
      <w:r>
        <w:rPr>
          <w:rFonts w:hint="eastAsia" w:ascii="宋体" w:hAnsi="宋体"/>
          <w:b/>
          <w:sz w:val="24"/>
        </w:rPr>
        <w:t>附件七</w:t>
      </w:r>
    </w:p>
    <w:p>
      <w:pPr>
        <w:adjustRightInd w:val="0"/>
        <w:snapToGrid w:val="0"/>
        <w:spacing w:line="360" w:lineRule="auto"/>
        <w:jc w:val="center"/>
        <w:rPr>
          <w:rFonts w:eastAsia="黑体"/>
          <w:sz w:val="36"/>
          <w:szCs w:val="36"/>
        </w:rPr>
      </w:pPr>
      <w:r>
        <w:rPr>
          <w:rFonts w:hint="eastAsia" w:eastAsia="黑体"/>
          <w:sz w:val="36"/>
          <w:szCs w:val="36"/>
        </w:rPr>
        <w:t>工程质量保修书</w:t>
      </w:r>
    </w:p>
    <w:p>
      <w:pPr>
        <w:adjustRightInd w:val="0"/>
        <w:snapToGrid w:val="0"/>
        <w:jc w:val="left"/>
        <w:rPr>
          <w:rFonts w:ascii="宋体" w:hAnsi="宋体"/>
          <w:szCs w:val="21"/>
          <w:u w:val="single"/>
        </w:rPr>
      </w:pPr>
      <w:r>
        <w:rPr>
          <w:rFonts w:hint="eastAsia" w:ascii="宋体" w:hAnsi="宋体"/>
          <w:szCs w:val="21"/>
        </w:rPr>
        <w:t>甲方：（全称）</w:t>
      </w:r>
      <w:r>
        <w:rPr>
          <w:rFonts w:hint="eastAsia" w:ascii="宋体" w:hAnsi="宋体"/>
          <w:szCs w:val="21"/>
          <w:u w:val="single"/>
        </w:rPr>
        <w:t>佛山市南海恒德胜嘉置业有限公司</w:t>
      </w:r>
    </w:p>
    <w:p>
      <w:pPr>
        <w:adjustRightInd w:val="0"/>
        <w:snapToGrid w:val="0"/>
        <w:jc w:val="left"/>
        <w:rPr>
          <w:rFonts w:ascii="宋体" w:hAnsi="宋体"/>
          <w:szCs w:val="21"/>
        </w:rPr>
      </w:pPr>
      <w:r>
        <w:rPr>
          <w:rFonts w:hint="eastAsia" w:ascii="宋体" w:hAnsi="宋体"/>
          <w:szCs w:val="21"/>
        </w:rPr>
        <w:t>乙方：（全称）</w:t>
      </w:r>
    </w:p>
    <w:p>
      <w:pPr>
        <w:adjustRightInd w:val="0"/>
        <w:snapToGrid w:val="0"/>
        <w:jc w:val="left"/>
        <w:rPr>
          <w:rFonts w:ascii="宋体" w:hAnsi="宋体"/>
          <w:szCs w:val="21"/>
        </w:rPr>
      </w:pPr>
    </w:p>
    <w:p>
      <w:pPr>
        <w:adjustRightInd w:val="0"/>
        <w:snapToGrid w:val="0"/>
        <w:jc w:val="left"/>
        <w:rPr>
          <w:rFonts w:ascii="宋体" w:hAnsi="宋体"/>
          <w:szCs w:val="21"/>
        </w:rPr>
      </w:pPr>
      <w:r>
        <w:rPr>
          <w:rFonts w:hint="eastAsia" w:ascii="宋体" w:hAnsi="宋体"/>
          <w:szCs w:val="21"/>
        </w:rPr>
        <w:t>为保证</w:t>
      </w:r>
      <w:r>
        <w:rPr>
          <w:rFonts w:hint="eastAsia" w:ascii="宋体" w:hAnsi="宋体"/>
          <w:szCs w:val="21"/>
          <w:u w:val="single"/>
          <w:lang w:eastAsia="zh-CN"/>
        </w:rPr>
        <w:t>上林观湖苑幼儿园（第二次招标）</w:t>
      </w:r>
      <w:r>
        <w:rPr>
          <w:rFonts w:hint="eastAsia" w:ascii="宋体" w:hAnsi="宋体"/>
          <w:szCs w:val="21"/>
        </w:rPr>
        <w:t>（工程名称）在合理使用期限内正常使用，甲方和乙方根据《中华人民共和国建筑法》、《建设工程质量管理条例》和《房屋建筑工程质量保修办法》，经协商一致，签订工程质量保修书。乙方在质量保修期内应按有关规定及双方约定承担工程质量保修责任。</w:t>
      </w:r>
    </w:p>
    <w:p>
      <w:pPr>
        <w:adjustRightInd w:val="0"/>
        <w:snapToGrid w:val="0"/>
        <w:jc w:val="left"/>
        <w:rPr>
          <w:rFonts w:ascii="宋体" w:hAnsi="宋体"/>
          <w:szCs w:val="21"/>
        </w:rPr>
      </w:pPr>
    </w:p>
    <w:p>
      <w:pPr>
        <w:adjustRightInd w:val="0"/>
        <w:snapToGrid w:val="0"/>
        <w:jc w:val="left"/>
        <w:rPr>
          <w:rFonts w:ascii="宋体" w:hAnsi="宋体"/>
          <w:b/>
          <w:szCs w:val="21"/>
        </w:rPr>
      </w:pPr>
      <w:r>
        <w:rPr>
          <w:rFonts w:hint="eastAsia" w:ascii="宋体" w:hAnsi="宋体"/>
          <w:b/>
          <w:szCs w:val="21"/>
        </w:rPr>
        <w:t>1、质量保修范围</w:t>
      </w:r>
    </w:p>
    <w:p>
      <w:pPr>
        <w:adjustRightInd w:val="0"/>
        <w:snapToGrid w:val="0"/>
        <w:jc w:val="left"/>
        <w:rPr>
          <w:rFonts w:ascii="宋体" w:hAnsi="宋体"/>
          <w:szCs w:val="21"/>
          <w:u w:val="single"/>
        </w:rPr>
      </w:pPr>
      <w:r>
        <w:rPr>
          <w:rFonts w:hint="eastAsia" w:ascii="宋体" w:hAnsi="宋体"/>
          <w:szCs w:val="21"/>
        </w:rPr>
        <w:t>具体质量保修范围：</w:t>
      </w:r>
      <w:r>
        <w:rPr>
          <w:rFonts w:hint="eastAsia" w:ascii="宋体" w:hAnsi="宋体"/>
          <w:szCs w:val="21"/>
          <w:u w:val="single"/>
        </w:rPr>
        <w:t>本合同协议书第二条约定的工程承包范围之全部内容。</w:t>
      </w:r>
    </w:p>
    <w:p>
      <w:pPr>
        <w:adjustRightInd w:val="0"/>
        <w:snapToGrid w:val="0"/>
        <w:jc w:val="left"/>
        <w:rPr>
          <w:rFonts w:ascii="宋体" w:hAnsi="宋体"/>
          <w:b/>
          <w:szCs w:val="21"/>
        </w:rPr>
      </w:pPr>
      <w:r>
        <w:rPr>
          <w:rFonts w:hint="eastAsia" w:ascii="宋体" w:hAnsi="宋体"/>
          <w:b/>
          <w:szCs w:val="21"/>
        </w:rPr>
        <w:t>2、质量保修期</w:t>
      </w:r>
    </w:p>
    <w:p>
      <w:pPr>
        <w:adjustRightInd w:val="0"/>
        <w:snapToGrid w:val="0"/>
        <w:jc w:val="left"/>
        <w:rPr>
          <w:rFonts w:ascii="宋体" w:hAnsi="宋体"/>
          <w:szCs w:val="21"/>
        </w:rPr>
      </w:pPr>
      <w:r>
        <w:rPr>
          <w:rFonts w:hint="eastAsia" w:ascii="宋体" w:hAnsi="宋体"/>
          <w:szCs w:val="21"/>
        </w:rPr>
        <w:t>2.1 质量保修期从工程竣工验收合格之日起计算。单项竣工验收的工程，按单项工程分别计算质量保修期。</w:t>
      </w:r>
    </w:p>
    <w:p>
      <w:pPr>
        <w:adjustRightInd w:val="0"/>
        <w:snapToGrid w:val="0"/>
        <w:jc w:val="left"/>
        <w:rPr>
          <w:rFonts w:ascii="宋体" w:hAnsi="宋体"/>
          <w:szCs w:val="21"/>
        </w:rPr>
      </w:pPr>
      <w:r>
        <w:rPr>
          <w:rFonts w:hint="eastAsia" w:ascii="宋体" w:hAnsi="宋体"/>
          <w:szCs w:val="21"/>
        </w:rPr>
        <w:t>2.2 双方根据《建设工程质量管理条例》及有关规定，约定本工程质量保修期如下：</w:t>
      </w:r>
    </w:p>
    <w:p>
      <w:pPr>
        <w:numPr>
          <w:ilvl w:val="1"/>
          <w:numId w:val="11"/>
        </w:numPr>
        <w:tabs>
          <w:tab w:val="clear" w:pos="1620"/>
        </w:tabs>
        <w:adjustRightInd w:val="0"/>
        <w:snapToGrid w:val="0"/>
        <w:ind w:left="0" w:firstLine="0"/>
        <w:jc w:val="left"/>
        <w:rPr>
          <w:rFonts w:ascii="宋体" w:hAnsi="宋体"/>
          <w:szCs w:val="21"/>
        </w:rPr>
      </w:pPr>
      <w:r>
        <w:rPr>
          <w:rFonts w:hint="eastAsia" w:ascii="宋体" w:hAnsi="宋体"/>
          <w:szCs w:val="21"/>
        </w:rPr>
        <w:t>地基基础工程、主体结构工程为设计文件规定的合理使用年限；</w:t>
      </w:r>
    </w:p>
    <w:p>
      <w:pPr>
        <w:adjustRightInd w:val="0"/>
        <w:snapToGrid w:val="0"/>
        <w:jc w:val="left"/>
        <w:rPr>
          <w:rFonts w:ascii="宋体" w:hAnsi="宋体"/>
          <w:szCs w:val="21"/>
        </w:rPr>
      </w:pPr>
      <w:r>
        <w:rPr>
          <w:rFonts w:hint="eastAsia" w:ascii="宋体" w:hAnsi="宋体"/>
          <w:szCs w:val="21"/>
        </w:rPr>
        <w:t>（2）屋面防水工程、有防水要求的卫生间、房间和外墙面的防渗漏工程为</w:t>
      </w:r>
      <w:r>
        <w:rPr>
          <w:rFonts w:hint="eastAsia" w:ascii="宋体" w:hAnsi="宋体"/>
          <w:szCs w:val="21"/>
          <w:u w:val="single"/>
        </w:rPr>
        <w:t xml:space="preserve">  5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（3）电气管线工程、给排水管道工程、设备安装工程为</w:t>
      </w:r>
      <w:r>
        <w:rPr>
          <w:rFonts w:hint="eastAsia" w:ascii="宋体" w:hAnsi="宋体"/>
          <w:szCs w:val="21"/>
          <w:u w:val="single"/>
        </w:rPr>
        <w:t xml:space="preserve">  2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（4）供热、供冷系统工程为</w:t>
      </w:r>
      <w:r>
        <w:rPr>
          <w:rFonts w:hint="eastAsia" w:ascii="宋体" w:hAnsi="宋体"/>
          <w:szCs w:val="21"/>
          <w:u w:val="single"/>
        </w:rPr>
        <w:t xml:space="preserve">  2  </w:t>
      </w:r>
      <w:r>
        <w:rPr>
          <w:rFonts w:hint="eastAsia" w:ascii="宋体" w:hAnsi="宋体"/>
          <w:szCs w:val="21"/>
        </w:rPr>
        <w:t>个采暖期、供冷期；</w:t>
      </w:r>
    </w:p>
    <w:p>
      <w:pPr>
        <w:adjustRightInd w:val="0"/>
        <w:snapToGrid w:val="0"/>
        <w:jc w:val="left"/>
        <w:rPr>
          <w:rFonts w:ascii="宋体" w:hAnsi="宋体"/>
          <w:szCs w:val="21"/>
        </w:rPr>
      </w:pPr>
      <w:r>
        <w:rPr>
          <w:rFonts w:hint="eastAsia" w:ascii="宋体" w:hAnsi="宋体"/>
          <w:szCs w:val="21"/>
        </w:rPr>
        <w:t>（5）装饰装修工程为</w:t>
      </w:r>
      <w:r>
        <w:rPr>
          <w:rFonts w:hint="eastAsia" w:ascii="宋体" w:hAnsi="宋体"/>
          <w:szCs w:val="21"/>
          <w:u w:val="single"/>
        </w:rPr>
        <w:t xml:space="preserve">  2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（6）其他项目按建设部颁发的第80号令《房屋建筑工程质量保修办法》执行。</w:t>
      </w:r>
    </w:p>
    <w:p>
      <w:pPr>
        <w:adjustRightInd w:val="0"/>
        <w:snapToGrid w:val="0"/>
        <w:jc w:val="left"/>
        <w:rPr>
          <w:rFonts w:ascii="宋体" w:hAnsi="宋体"/>
          <w:b/>
          <w:szCs w:val="21"/>
        </w:rPr>
      </w:pPr>
      <w:r>
        <w:rPr>
          <w:rFonts w:hint="eastAsia" w:ascii="宋体" w:hAnsi="宋体"/>
          <w:b/>
          <w:szCs w:val="21"/>
        </w:rPr>
        <w:t>3、质量保修责任</w:t>
      </w:r>
    </w:p>
    <w:p>
      <w:pPr>
        <w:adjustRightInd w:val="0"/>
        <w:snapToGrid w:val="0"/>
        <w:jc w:val="left"/>
        <w:rPr>
          <w:rFonts w:ascii="宋体" w:hAnsi="宋体"/>
          <w:szCs w:val="21"/>
        </w:rPr>
      </w:pPr>
      <w:r>
        <w:rPr>
          <w:rFonts w:hint="eastAsia" w:ascii="宋体" w:hAnsi="宋体"/>
          <w:szCs w:val="21"/>
        </w:rPr>
        <w:t>3.1 属于保修范围的项目，乙方应在接到通知后的48小时内派人保修，并在甲方书面要求的时间内维修完毕。若乙方未在约定期限内派人保修，甲方可自行或指派第三方保修，费用由乙方承担，同时，乙方应向甲方支付该维修费用的10%作为违约金。</w:t>
      </w:r>
    </w:p>
    <w:p>
      <w:pPr>
        <w:adjustRightInd w:val="0"/>
        <w:snapToGrid w:val="0"/>
        <w:jc w:val="left"/>
        <w:rPr>
          <w:rFonts w:ascii="宋体" w:hAnsi="宋体"/>
          <w:szCs w:val="21"/>
        </w:rPr>
      </w:pPr>
      <w:r>
        <w:rPr>
          <w:rFonts w:hint="eastAsia" w:ascii="宋体" w:hAnsi="宋体"/>
          <w:szCs w:val="21"/>
        </w:rPr>
        <w:t>若乙方未在甲方要求的时间内维修完毕，每逾期一日，应向甲方支付违约金500元。</w:t>
      </w:r>
    </w:p>
    <w:p>
      <w:pPr>
        <w:adjustRightInd w:val="0"/>
        <w:snapToGrid w:val="0"/>
        <w:jc w:val="left"/>
        <w:rPr>
          <w:rFonts w:ascii="宋体" w:hAnsi="宋体"/>
          <w:szCs w:val="21"/>
        </w:rPr>
      </w:pPr>
      <w:r>
        <w:rPr>
          <w:rFonts w:hint="eastAsia" w:ascii="宋体" w:hAnsi="宋体"/>
          <w:szCs w:val="21"/>
        </w:rPr>
        <w:t>3.2 发生紧急抢修事故的，乙方在接到通知后，应在 12小时内立即到达事故现场抢修。</w:t>
      </w:r>
    </w:p>
    <w:p>
      <w:pPr>
        <w:adjustRightInd w:val="0"/>
        <w:snapToGrid w:val="0"/>
        <w:jc w:val="left"/>
        <w:rPr>
          <w:rFonts w:ascii="宋体" w:hAnsi="宋体"/>
          <w:szCs w:val="21"/>
        </w:rPr>
      </w:pPr>
      <w:r>
        <w:rPr>
          <w:rFonts w:hint="eastAsia" w:ascii="宋体" w:hAnsi="宋体"/>
          <w:szCs w:val="21"/>
        </w:rPr>
        <w:t>3.3 在国家规定的工程合理使用期限内，乙方应确保地基基础工程和主体结构的安全和质量。凡出现其质量问题，应立即报告当地建设行政主管部门，由设计单位提出保修方案，乙方应立即实施保修。</w:t>
      </w:r>
    </w:p>
    <w:p>
      <w:pPr>
        <w:adjustRightInd w:val="0"/>
        <w:snapToGrid w:val="0"/>
        <w:jc w:val="left"/>
        <w:rPr>
          <w:rFonts w:ascii="宋体" w:hAnsi="宋体"/>
          <w:szCs w:val="21"/>
        </w:rPr>
      </w:pPr>
      <w:r>
        <w:rPr>
          <w:rFonts w:hint="eastAsia" w:ascii="宋体" w:hAnsi="宋体"/>
          <w:szCs w:val="21"/>
        </w:rPr>
        <w:t>3.4 质量保修完成后，由甲方组织验收。</w:t>
      </w:r>
    </w:p>
    <w:p>
      <w:pPr>
        <w:adjustRightInd w:val="0"/>
        <w:snapToGrid w:val="0"/>
        <w:jc w:val="left"/>
        <w:rPr>
          <w:rFonts w:ascii="宋体" w:hAnsi="宋体"/>
          <w:b/>
          <w:szCs w:val="21"/>
        </w:rPr>
      </w:pPr>
      <w:r>
        <w:rPr>
          <w:rFonts w:hint="eastAsia" w:ascii="宋体" w:hAnsi="宋体"/>
          <w:b/>
          <w:szCs w:val="21"/>
        </w:rPr>
        <w:t>4、质量保修费用</w:t>
      </w:r>
    </w:p>
    <w:p>
      <w:pPr>
        <w:adjustRightInd w:val="0"/>
        <w:snapToGrid w:val="0"/>
        <w:jc w:val="left"/>
        <w:rPr>
          <w:rFonts w:ascii="宋体" w:hAnsi="宋体"/>
          <w:szCs w:val="21"/>
        </w:rPr>
      </w:pPr>
      <w:r>
        <w:rPr>
          <w:rFonts w:hint="eastAsia" w:ascii="宋体" w:hAnsi="宋体"/>
          <w:szCs w:val="21"/>
        </w:rPr>
        <w:t>质量保修费用、违反保修责任所发生的违约金、相关的损害赔偿费，由造成质量缺陷的责任方承担。若应由乙方承担的，甲方有权从质量保证金中直接扣除，不足部分由乙方补偿。</w:t>
      </w:r>
    </w:p>
    <w:p>
      <w:pPr>
        <w:adjustRightInd w:val="0"/>
        <w:snapToGrid w:val="0"/>
        <w:jc w:val="left"/>
        <w:rPr>
          <w:rFonts w:ascii="宋体" w:hAnsi="宋体"/>
          <w:b/>
          <w:szCs w:val="21"/>
        </w:rPr>
      </w:pPr>
      <w:r>
        <w:rPr>
          <w:rFonts w:hint="eastAsia" w:ascii="宋体" w:hAnsi="宋体"/>
          <w:b/>
          <w:szCs w:val="21"/>
        </w:rPr>
        <w:t>5、质量保证金</w:t>
      </w:r>
    </w:p>
    <w:p>
      <w:pPr>
        <w:adjustRightInd w:val="0"/>
        <w:snapToGrid w:val="0"/>
        <w:jc w:val="left"/>
        <w:rPr>
          <w:rFonts w:ascii="宋体" w:hAnsi="宋体"/>
          <w:szCs w:val="21"/>
        </w:rPr>
      </w:pPr>
      <w:r>
        <w:rPr>
          <w:rFonts w:hint="eastAsia" w:ascii="宋体" w:hAnsi="宋体"/>
          <w:szCs w:val="21"/>
        </w:rPr>
        <w:t>质量保证金的使用、约定和支付按本合同专用条款第68条执行。</w:t>
      </w:r>
    </w:p>
    <w:p>
      <w:pPr>
        <w:adjustRightInd w:val="0"/>
        <w:snapToGrid w:val="0"/>
        <w:jc w:val="left"/>
        <w:rPr>
          <w:rFonts w:ascii="宋体" w:hAnsi="宋体"/>
          <w:b/>
          <w:szCs w:val="21"/>
        </w:rPr>
      </w:pPr>
      <w:r>
        <w:rPr>
          <w:rFonts w:hint="eastAsia" w:ascii="宋体" w:hAnsi="宋体"/>
          <w:b/>
          <w:szCs w:val="21"/>
        </w:rPr>
        <w:t>6、其它</w:t>
      </w:r>
    </w:p>
    <w:p>
      <w:pPr>
        <w:adjustRightInd w:val="0"/>
        <w:snapToGrid w:val="0"/>
        <w:jc w:val="left"/>
        <w:rPr>
          <w:rFonts w:ascii="宋体" w:hAnsi="宋体"/>
          <w:szCs w:val="21"/>
        </w:rPr>
      </w:pPr>
      <w:r>
        <w:rPr>
          <w:rFonts w:hint="eastAsia" w:ascii="宋体" w:hAnsi="宋体"/>
          <w:szCs w:val="21"/>
        </w:rPr>
        <w:t>6.1双方约定的其它工程质量保修事项：</w:t>
      </w:r>
      <w:r>
        <w:rPr>
          <w:rFonts w:hint="eastAsia" w:ascii="宋体" w:hAnsi="宋体"/>
          <w:szCs w:val="21"/>
          <w:u w:val="single"/>
        </w:rPr>
        <w:t xml:space="preserve">   /   。</w:t>
      </w:r>
    </w:p>
    <w:p>
      <w:pPr>
        <w:adjustRightInd w:val="0"/>
        <w:snapToGrid w:val="0"/>
        <w:jc w:val="left"/>
        <w:rPr>
          <w:rFonts w:ascii="宋体" w:hAnsi="宋体"/>
          <w:szCs w:val="21"/>
        </w:rPr>
      </w:pPr>
      <w:r>
        <w:rPr>
          <w:rFonts w:hint="eastAsia" w:ascii="宋体" w:hAnsi="宋体"/>
          <w:szCs w:val="21"/>
        </w:rPr>
        <w:t>6.2 本工程质量保修书，由甲乙双方在工程竣工验收前签署，作为合同附件，其有效期限至保修期满。</w:t>
      </w:r>
    </w:p>
    <w:p>
      <w:pPr>
        <w:adjustRightInd w:val="0"/>
        <w:snapToGrid w:val="0"/>
        <w:jc w:val="left"/>
        <w:rPr>
          <w:rFonts w:ascii="宋体" w:hAnsi="宋体"/>
          <w:szCs w:val="21"/>
        </w:rPr>
      </w:pPr>
    </w:p>
    <w:p>
      <w:pPr>
        <w:adjustRightInd w:val="0"/>
        <w:snapToGrid w:val="0"/>
        <w:jc w:val="left"/>
        <w:rPr>
          <w:rFonts w:ascii="宋体" w:hAnsi="宋体"/>
          <w:szCs w:val="21"/>
        </w:rPr>
      </w:pPr>
    </w:p>
    <w:p>
      <w:pPr>
        <w:adjustRightInd w:val="0"/>
        <w:snapToGrid w:val="0"/>
        <w:spacing w:line="360" w:lineRule="auto"/>
        <w:rPr>
          <w:rFonts w:ascii="宋体" w:hAnsi="宋体"/>
          <w:szCs w:val="21"/>
          <w:u w:val="single"/>
        </w:rPr>
      </w:pPr>
      <w:r>
        <w:rPr>
          <w:rFonts w:hint="eastAsia" w:ascii="宋体" w:hAnsi="宋体"/>
          <w:b/>
          <w:szCs w:val="21"/>
        </w:rPr>
        <w:t>甲方（公章）：</w:t>
      </w:r>
      <w:r>
        <w:rPr>
          <w:rFonts w:hint="eastAsia" w:ascii="宋体" w:hAnsi="宋体"/>
          <w:szCs w:val="21"/>
          <w:u w:val="single"/>
        </w:rPr>
        <w:t>佛山市南海恒德胜嘉置业有限公司</w:t>
      </w:r>
      <w:r>
        <w:rPr>
          <w:rFonts w:hint="eastAsia" w:ascii="宋体" w:hAnsi="宋体"/>
          <w:b/>
          <w:szCs w:val="21"/>
        </w:rPr>
        <w:t xml:space="preserve">  乙方 （公章）：</w:t>
      </w:r>
    </w:p>
    <w:p>
      <w:pPr>
        <w:adjustRightInd w:val="0"/>
        <w:snapToGrid w:val="0"/>
        <w:spacing w:line="360" w:lineRule="auto"/>
        <w:rPr>
          <w:rFonts w:ascii="宋体" w:hAnsi="宋体"/>
          <w:b/>
          <w:szCs w:val="21"/>
        </w:rPr>
      </w:pPr>
      <w:r>
        <w:rPr>
          <w:rFonts w:hint="eastAsia" w:ascii="宋体" w:hAnsi="宋体"/>
          <w:b/>
          <w:szCs w:val="21"/>
        </w:rPr>
        <w:t>法定代表人（签字）：                    法定代表人（签字）：</w:t>
      </w:r>
    </w:p>
    <w:p>
      <w:pPr>
        <w:adjustRightInd w:val="0"/>
        <w:snapToGrid w:val="0"/>
        <w:spacing w:line="360" w:lineRule="auto"/>
        <w:ind w:firstLine="617" w:firstLineChars="294"/>
        <w:rPr>
          <w:rFonts w:ascii="宋体" w:hAnsi="宋体"/>
          <w:b/>
          <w:szCs w:val="21"/>
        </w:rPr>
      </w:pPr>
      <w:r>
        <w:rPr>
          <w:rFonts w:hint="eastAsia" w:ascii="宋体" w:hAnsi="宋体"/>
          <w:b/>
          <w:szCs w:val="21"/>
        </w:rPr>
        <w:t>____年____月____日                     ____年____月____日</w:t>
      </w:r>
    </w:p>
    <w:p>
      <w:pPr>
        <w:widowControl/>
        <w:jc w:val="left"/>
        <w:rPr>
          <w:b/>
          <w:sz w:val="24"/>
        </w:rPr>
      </w:pPr>
    </w:p>
    <w:p>
      <w:pPr>
        <w:adjustRightInd w:val="0"/>
        <w:snapToGrid w:val="0"/>
        <w:spacing w:line="360" w:lineRule="auto"/>
        <w:rPr>
          <w:b/>
          <w:sz w:val="24"/>
        </w:rPr>
        <w:sectPr>
          <w:footerReference r:id="rId26" w:type="first"/>
          <w:pgSz w:w="11906" w:h="16838"/>
          <w:pgMar w:top="1440" w:right="1797" w:bottom="1440" w:left="1797" w:header="851" w:footer="992" w:gutter="0"/>
          <w:cols w:space="720" w:num="1"/>
          <w:titlePg/>
          <w:docGrid w:type="linesAndChars" w:linePitch="312" w:charSpace="0"/>
        </w:sectPr>
      </w:pPr>
    </w:p>
    <w:p>
      <w:pPr>
        <w:adjustRightInd w:val="0"/>
        <w:snapToGrid w:val="0"/>
        <w:spacing w:line="360" w:lineRule="auto"/>
        <w:rPr>
          <w:b/>
          <w:sz w:val="24"/>
        </w:rPr>
      </w:pPr>
      <w:r>
        <w:rPr>
          <w:rFonts w:hint="eastAsia"/>
          <w:b/>
          <w:sz w:val="24"/>
        </w:rPr>
        <w:t>附件八</w:t>
      </w:r>
    </w:p>
    <w:p>
      <w:pPr>
        <w:spacing w:line="400" w:lineRule="exact"/>
        <w:jc w:val="center"/>
        <w:rPr>
          <w:rFonts w:ascii="黑体" w:eastAsia="黑体"/>
          <w:b/>
          <w:sz w:val="36"/>
          <w:szCs w:val="36"/>
        </w:rPr>
      </w:pPr>
      <w:r>
        <w:rPr>
          <w:rFonts w:hint="eastAsia" w:ascii="黑体" w:eastAsia="黑体"/>
          <w:b/>
          <w:sz w:val="36"/>
          <w:szCs w:val="36"/>
        </w:rPr>
        <w:t>廉政合同</w:t>
      </w:r>
    </w:p>
    <w:p>
      <w:pPr>
        <w:spacing w:line="400" w:lineRule="exact"/>
        <w:rPr>
          <w:sz w:val="24"/>
        </w:rPr>
      </w:pPr>
    </w:p>
    <w:p>
      <w:pPr>
        <w:adjustRightInd w:val="0"/>
        <w:snapToGrid w:val="0"/>
        <w:rPr>
          <w:rFonts w:ascii="宋体" w:hAnsi="宋体"/>
          <w:szCs w:val="21"/>
          <w:u w:val="single"/>
        </w:rPr>
      </w:pPr>
      <w:r>
        <w:rPr>
          <w:rFonts w:hint="eastAsia" w:ascii="宋体" w:hAnsi="宋体"/>
          <w:szCs w:val="21"/>
        </w:rPr>
        <w:t>甲方：（全称）</w:t>
      </w:r>
      <w:r>
        <w:rPr>
          <w:rFonts w:hint="eastAsia" w:ascii="宋体" w:hAnsi="宋体"/>
          <w:szCs w:val="21"/>
          <w:u w:val="single"/>
        </w:rPr>
        <w:t>佛山市南海恒德胜嘉置业有限公司</w:t>
      </w:r>
    </w:p>
    <w:p>
      <w:pPr>
        <w:adjustRightInd w:val="0"/>
        <w:snapToGrid w:val="0"/>
        <w:rPr>
          <w:rFonts w:ascii="宋体" w:hAnsi="宋体"/>
          <w:szCs w:val="21"/>
          <w:u w:val="single"/>
        </w:rPr>
      </w:pPr>
      <w:r>
        <w:rPr>
          <w:rFonts w:hint="eastAsia" w:ascii="宋体" w:hAnsi="宋体"/>
          <w:szCs w:val="21"/>
        </w:rPr>
        <w:t>乙方：（全称）</w:t>
      </w:r>
    </w:p>
    <w:p>
      <w:pPr>
        <w:adjustRightInd w:val="0"/>
        <w:snapToGrid w:val="0"/>
        <w:rPr>
          <w:rFonts w:ascii="宋体" w:hAnsi="宋体"/>
          <w:szCs w:val="21"/>
        </w:rPr>
      </w:pPr>
    </w:p>
    <w:p>
      <w:pPr>
        <w:adjustRightInd w:val="0"/>
        <w:snapToGrid w:val="0"/>
        <w:ind w:firstLine="420" w:firstLineChars="200"/>
        <w:rPr>
          <w:rFonts w:ascii="宋体" w:hAnsi="宋体"/>
          <w:szCs w:val="21"/>
        </w:rPr>
      </w:pPr>
      <w:r>
        <w:rPr>
          <w:rFonts w:hint="eastAsia" w:ascii="宋体" w:hAnsi="宋体"/>
          <w:szCs w:val="21"/>
        </w:rPr>
        <w:t>根据国家、省工程建设和廉政建设的有关规定，为做好合同工程的廉政建设，保证工程质量与施工安全，提高建设资金的有效使用和投资效益，甲乙双方就加强合同工程的廉政建设，订立本合同。</w:t>
      </w:r>
    </w:p>
    <w:p>
      <w:pPr>
        <w:adjustRightInd w:val="0"/>
        <w:snapToGrid w:val="0"/>
        <w:ind w:firstLine="422" w:firstLineChars="200"/>
        <w:rPr>
          <w:rFonts w:ascii="宋体" w:hAnsi="宋体"/>
          <w:b/>
          <w:bCs/>
          <w:szCs w:val="21"/>
        </w:rPr>
      </w:pPr>
      <w:r>
        <w:rPr>
          <w:rFonts w:hint="eastAsia" w:ascii="宋体" w:hAnsi="宋体"/>
          <w:b/>
          <w:bCs/>
          <w:szCs w:val="21"/>
        </w:rPr>
        <w:t>1 、双方权利和义务</w:t>
      </w:r>
    </w:p>
    <w:p>
      <w:pPr>
        <w:adjustRightInd w:val="0"/>
        <w:snapToGrid w:val="0"/>
        <w:ind w:firstLine="420" w:firstLineChars="200"/>
        <w:rPr>
          <w:rFonts w:ascii="宋体" w:hAnsi="宋体"/>
          <w:szCs w:val="21"/>
        </w:rPr>
      </w:pPr>
      <w:r>
        <w:rPr>
          <w:rFonts w:hint="eastAsia" w:ascii="宋体" w:hAnsi="宋体"/>
          <w:szCs w:val="21"/>
        </w:rPr>
        <w:t>1.1  严格遵守国家有关法律法规的规定。</w:t>
      </w:r>
    </w:p>
    <w:p>
      <w:pPr>
        <w:adjustRightInd w:val="0"/>
        <w:snapToGrid w:val="0"/>
        <w:ind w:firstLine="420" w:firstLineChars="200"/>
        <w:rPr>
          <w:rFonts w:ascii="宋体" w:hAnsi="宋体"/>
          <w:szCs w:val="21"/>
        </w:rPr>
      </w:pPr>
      <w:r>
        <w:rPr>
          <w:rFonts w:hint="eastAsia" w:ascii="宋体" w:hAnsi="宋体"/>
          <w:szCs w:val="21"/>
        </w:rPr>
        <w:t>1.2  严格执行一切合同文件，自觉按合同办事。</w:t>
      </w:r>
    </w:p>
    <w:p>
      <w:pPr>
        <w:adjustRightInd w:val="0"/>
        <w:snapToGrid w:val="0"/>
        <w:ind w:firstLine="420" w:firstLineChars="200"/>
        <w:rPr>
          <w:rFonts w:ascii="宋体" w:hAnsi="宋体"/>
          <w:szCs w:val="21"/>
        </w:rPr>
      </w:pPr>
      <w:r>
        <w:rPr>
          <w:rFonts w:hint="eastAsia" w:ascii="宋体" w:hAnsi="宋体"/>
          <w:szCs w:val="21"/>
        </w:rPr>
        <w:t>1.3  双方的业务活动坚持公平、公开、公正和诚信的原则（法律认定的商业秘密和合同文件另有规定除外），不得损害国家和集体利益，不得违反工程建设管理规章制度。</w:t>
      </w:r>
    </w:p>
    <w:p>
      <w:pPr>
        <w:adjustRightInd w:val="0"/>
        <w:snapToGrid w:val="0"/>
        <w:ind w:firstLine="420" w:firstLineChars="200"/>
        <w:rPr>
          <w:rFonts w:ascii="宋体" w:hAnsi="宋体"/>
          <w:szCs w:val="21"/>
        </w:rPr>
      </w:pPr>
      <w:r>
        <w:rPr>
          <w:rFonts w:hint="eastAsia" w:ascii="宋体" w:hAnsi="宋体"/>
          <w:szCs w:val="21"/>
        </w:rPr>
        <w:t>1.4  建立健全廉政制度，开展廉政教育，设立廉政告示牌，公布举报电话，监督并认真查处违法违纪行为。</w:t>
      </w:r>
    </w:p>
    <w:p>
      <w:pPr>
        <w:adjustRightInd w:val="0"/>
        <w:snapToGrid w:val="0"/>
        <w:ind w:firstLine="420" w:firstLineChars="200"/>
        <w:rPr>
          <w:rFonts w:ascii="宋体" w:hAnsi="宋体"/>
          <w:szCs w:val="21"/>
        </w:rPr>
      </w:pPr>
      <w:r>
        <w:rPr>
          <w:rFonts w:hint="eastAsia" w:ascii="宋体" w:hAnsi="宋体"/>
          <w:szCs w:val="21"/>
        </w:rPr>
        <w:t>1.5  发现对方在业务活动中有违反廉政建设规定的行为，应及时给予提醒和纠正。</w:t>
      </w:r>
    </w:p>
    <w:p>
      <w:pPr>
        <w:adjustRightInd w:val="0"/>
        <w:snapToGrid w:val="0"/>
        <w:ind w:firstLine="420" w:firstLineChars="200"/>
        <w:rPr>
          <w:rFonts w:ascii="宋体" w:hAnsi="宋体"/>
          <w:szCs w:val="21"/>
        </w:rPr>
      </w:pPr>
      <w:r>
        <w:rPr>
          <w:rFonts w:hint="eastAsia" w:ascii="宋体" w:hAnsi="宋体"/>
          <w:szCs w:val="21"/>
        </w:rPr>
        <w:t>1.6  发现对方严重违反合同的行为，有向其上级部门举报、建议给予处理并要求告知处理结果的权利。没有上级部门的，可按施工合同通用条款第70条规定处理。</w:t>
      </w:r>
    </w:p>
    <w:p>
      <w:pPr>
        <w:adjustRightInd w:val="0"/>
        <w:snapToGrid w:val="0"/>
        <w:ind w:firstLine="422" w:firstLineChars="200"/>
        <w:rPr>
          <w:rFonts w:ascii="宋体" w:hAnsi="宋体"/>
          <w:b/>
          <w:bCs/>
          <w:szCs w:val="21"/>
        </w:rPr>
      </w:pPr>
      <w:r>
        <w:rPr>
          <w:rFonts w:hint="eastAsia" w:ascii="宋体" w:hAnsi="宋体"/>
          <w:b/>
          <w:bCs/>
          <w:szCs w:val="21"/>
        </w:rPr>
        <w:t>2 、甲方义务</w:t>
      </w:r>
    </w:p>
    <w:p>
      <w:pPr>
        <w:adjustRightInd w:val="0"/>
        <w:snapToGrid w:val="0"/>
        <w:ind w:firstLine="420" w:firstLineChars="200"/>
        <w:rPr>
          <w:rFonts w:ascii="宋体" w:hAnsi="宋体"/>
          <w:szCs w:val="21"/>
        </w:rPr>
      </w:pPr>
      <w:r>
        <w:rPr>
          <w:rFonts w:hint="eastAsia" w:ascii="宋体" w:hAnsi="宋体"/>
          <w:szCs w:val="21"/>
        </w:rPr>
        <w:t>2.1  甲方及其工作人员不得索要或接受乙方的礼金、有价证券和贵重物品，不得在乙方报销任何应由甲方或工作人员个人支付的费用等。</w:t>
      </w:r>
    </w:p>
    <w:p>
      <w:pPr>
        <w:adjustRightInd w:val="0"/>
        <w:snapToGrid w:val="0"/>
        <w:ind w:firstLine="420" w:firstLineChars="200"/>
        <w:rPr>
          <w:rFonts w:ascii="宋体" w:hAnsi="宋体"/>
          <w:szCs w:val="21"/>
        </w:rPr>
      </w:pPr>
      <w:r>
        <w:rPr>
          <w:rFonts w:hint="eastAsia" w:ascii="宋体" w:hAnsi="宋体"/>
          <w:szCs w:val="21"/>
        </w:rPr>
        <w:t>2.2  甲方及其工作人员不得参加乙方安排的宴请（工作餐除外）和娱乐活动；不得接受乙方提供的通讯工具、交通工具和高档办公用品等。</w:t>
      </w:r>
    </w:p>
    <w:p>
      <w:pPr>
        <w:adjustRightInd w:val="0"/>
        <w:snapToGrid w:val="0"/>
        <w:ind w:firstLine="420" w:firstLineChars="200"/>
        <w:rPr>
          <w:rFonts w:ascii="宋体" w:hAnsi="宋体"/>
          <w:szCs w:val="21"/>
        </w:rPr>
      </w:pPr>
      <w:r>
        <w:rPr>
          <w:rFonts w:hint="eastAsia" w:ascii="宋体" w:hAnsi="宋体"/>
          <w:szCs w:val="21"/>
        </w:rPr>
        <w:t>2.3  甲方及其工作人员不得要求或者接受乙方为其住房装修、婚丧嫁娶活动、配偶子女的工作安排以及出国出境、旅游等提供方便等。</w:t>
      </w:r>
    </w:p>
    <w:p>
      <w:pPr>
        <w:adjustRightInd w:val="0"/>
        <w:snapToGrid w:val="0"/>
        <w:ind w:firstLine="420" w:firstLineChars="200"/>
        <w:rPr>
          <w:rFonts w:ascii="宋体" w:hAnsi="宋体"/>
          <w:szCs w:val="21"/>
        </w:rPr>
      </w:pPr>
      <w:r>
        <w:rPr>
          <w:rFonts w:hint="eastAsia" w:ascii="宋体" w:hAnsi="宋体"/>
          <w:szCs w:val="21"/>
        </w:rPr>
        <w:t>2.4  甲方及其工作人员及其配偶、子女不得从事与甲方有关的工程材料设备供应、工程分包、劳务等经济活动。</w:t>
      </w:r>
    </w:p>
    <w:p>
      <w:pPr>
        <w:adjustRightInd w:val="0"/>
        <w:snapToGrid w:val="0"/>
        <w:ind w:firstLine="420" w:firstLineChars="200"/>
        <w:rPr>
          <w:rFonts w:ascii="宋体" w:hAnsi="宋体"/>
          <w:szCs w:val="21"/>
        </w:rPr>
      </w:pPr>
      <w:r>
        <w:rPr>
          <w:rFonts w:hint="eastAsia" w:ascii="宋体" w:hAnsi="宋体"/>
          <w:szCs w:val="21"/>
        </w:rPr>
        <w:t>2.5  甲方及其工作人员不得以任何理由向乙方推荐分包单位或推销材料，不得要求乙方购买合同约定外的材料和设备。</w:t>
      </w:r>
    </w:p>
    <w:p>
      <w:pPr>
        <w:adjustRightInd w:val="0"/>
        <w:snapToGrid w:val="0"/>
        <w:ind w:firstLine="420" w:firstLineChars="200"/>
        <w:rPr>
          <w:rFonts w:ascii="宋体" w:hAnsi="宋体"/>
          <w:szCs w:val="21"/>
        </w:rPr>
      </w:pPr>
      <w:r>
        <w:rPr>
          <w:rFonts w:hint="eastAsia" w:ascii="宋体" w:hAnsi="宋体"/>
          <w:szCs w:val="21"/>
        </w:rPr>
        <w:t>2.6  甲方及其工作人员要秉公办事，不准营私舞弊，不准利用职权从事各种个人有偿中介活动和安排个人施工队伍。</w:t>
      </w:r>
    </w:p>
    <w:p>
      <w:pPr>
        <w:adjustRightInd w:val="0"/>
        <w:snapToGrid w:val="0"/>
        <w:ind w:firstLine="422" w:firstLineChars="200"/>
        <w:rPr>
          <w:rFonts w:ascii="宋体" w:hAnsi="宋体"/>
          <w:b/>
          <w:bCs/>
          <w:szCs w:val="21"/>
        </w:rPr>
      </w:pPr>
      <w:r>
        <w:rPr>
          <w:rFonts w:hint="eastAsia" w:ascii="宋体" w:hAnsi="宋体"/>
          <w:b/>
          <w:bCs/>
          <w:szCs w:val="21"/>
        </w:rPr>
        <w:t>3、乙方义务</w:t>
      </w:r>
    </w:p>
    <w:p>
      <w:pPr>
        <w:adjustRightInd w:val="0"/>
        <w:snapToGrid w:val="0"/>
        <w:ind w:firstLine="420" w:firstLineChars="200"/>
        <w:rPr>
          <w:rFonts w:ascii="宋体" w:hAnsi="宋体"/>
          <w:szCs w:val="21"/>
        </w:rPr>
      </w:pPr>
      <w:r>
        <w:rPr>
          <w:rFonts w:hint="eastAsia" w:ascii="宋体" w:hAnsi="宋体"/>
          <w:szCs w:val="21"/>
        </w:rPr>
        <w:t>3.1  乙方不得以任何理由向甲方及其工作人员行贿或馈赠礼金、有价证券、贵重礼品。</w:t>
      </w:r>
    </w:p>
    <w:p>
      <w:pPr>
        <w:adjustRightInd w:val="0"/>
        <w:snapToGrid w:val="0"/>
        <w:ind w:firstLine="420" w:firstLineChars="200"/>
        <w:rPr>
          <w:rFonts w:ascii="宋体" w:hAnsi="宋体"/>
          <w:szCs w:val="21"/>
        </w:rPr>
      </w:pPr>
      <w:r>
        <w:rPr>
          <w:rFonts w:hint="eastAsia" w:ascii="宋体" w:hAnsi="宋体"/>
          <w:szCs w:val="21"/>
        </w:rPr>
        <w:t>3.2  乙方不得以任何名义为甲方及其工作人员报销应由甲方或工作人员个人支付的任何费用。</w:t>
      </w:r>
    </w:p>
    <w:p>
      <w:pPr>
        <w:adjustRightInd w:val="0"/>
        <w:snapToGrid w:val="0"/>
        <w:ind w:firstLine="420" w:firstLineChars="200"/>
        <w:rPr>
          <w:rFonts w:ascii="宋体" w:hAnsi="宋体"/>
          <w:szCs w:val="21"/>
        </w:rPr>
      </w:pPr>
      <w:r>
        <w:rPr>
          <w:rFonts w:hint="eastAsia" w:ascii="宋体" w:hAnsi="宋体"/>
          <w:szCs w:val="21"/>
        </w:rPr>
        <w:t>3.3  乙方不得以任何理由安排甲方及其工作人员参加宴请（工作餐除外）及娱乐活动。</w:t>
      </w:r>
    </w:p>
    <w:p>
      <w:pPr>
        <w:adjustRightInd w:val="0"/>
        <w:snapToGrid w:val="0"/>
        <w:ind w:firstLine="420" w:firstLineChars="200"/>
        <w:rPr>
          <w:rFonts w:ascii="宋体" w:hAnsi="宋体"/>
          <w:szCs w:val="21"/>
        </w:rPr>
      </w:pPr>
      <w:r>
        <w:rPr>
          <w:rFonts w:hint="eastAsia" w:ascii="宋体" w:hAnsi="宋体"/>
          <w:szCs w:val="21"/>
        </w:rPr>
        <w:t>3.4  乙方不得为甲方和个人购置或提供通讯工具、交通工具和高档办公用品等。</w:t>
      </w:r>
    </w:p>
    <w:p>
      <w:pPr>
        <w:tabs>
          <w:tab w:val="left" w:pos="900"/>
        </w:tabs>
        <w:adjustRightInd w:val="0"/>
        <w:snapToGrid w:val="0"/>
        <w:ind w:firstLine="422" w:firstLineChars="200"/>
        <w:rPr>
          <w:rFonts w:ascii="宋体" w:hAnsi="宋体"/>
          <w:b/>
          <w:bCs/>
          <w:szCs w:val="21"/>
        </w:rPr>
      </w:pPr>
      <w:r>
        <w:rPr>
          <w:rFonts w:hint="eastAsia" w:ascii="宋体" w:hAnsi="宋体"/>
          <w:b/>
          <w:bCs/>
          <w:szCs w:val="21"/>
        </w:rPr>
        <w:t>4、违约责任</w:t>
      </w:r>
    </w:p>
    <w:p>
      <w:pPr>
        <w:adjustRightInd w:val="0"/>
        <w:snapToGrid w:val="0"/>
        <w:ind w:firstLine="420" w:firstLineChars="200"/>
        <w:rPr>
          <w:rFonts w:ascii="宋体" w:hAnsi="宋体"/>
          <w:szCs w:val="21"/>
        </w:rPr>
      </w:pPr>
      <w:r>
        <w:rPr>
          <w:rFonts w:hint="eastAsia" w:ascii="宋体" w:hAnsi="宋体"/>
          <w:szCs w:val="21"/>
        </w:rPr>
        <w:t>4.1  甲方及其工作人员违反本合同第1条和第2条规定，应依据有关规定给予廉政建设规定的处分；涉嫌犯罪的，移交司法机关追究刑事责任；给乙方造成经济损失的，应予赔偿。</w:t>
      </w:r>
    </w:p>
    <w:p>
      <w:pPr>
        <w:adjustRightInd w:val="0"/>
        <w:snapToGrid w:val="0"/>
        <w:ind w:firstLine="420" w:firstLineChars="200"/>
        <w:rPr>
          <w:rFonts w:ascii="宋体" w:hAnsi="宋体"/>
          <w:szCs w:val="21"/>
        </w:rPr>
      </w:pPr>
      <w:r>
        <w:rPr>
          <w:rFonts w:hint="eastAsia" w:ascii="宋体" w:hAnsi="宋体"/>
          <w:szCs w:val="21"/>
        </w:rPr>
        <w:t>4.2  乙方及其工作人员违反本合同第1条和第3条规定，应依据有关规定给予廉政建设规定的处分；给甲方造成经济损失的，应予赔偿；情节严重的，给予乙方一至三年内不得进入工程建设市场的处罚。</w:t>
      </w:r>
    </w:p>
    <w:p>
      <w:pPr>
        <w:adjustRightInd w:val="0"/>
        <w:snapToGrid w:val="0"/>
        <w:ind w:firstLine="413" w:firstLineChars="196"/>
        <w:rPr>
          <w:rFonts w:ascii="宋体" w:hAnsi="宋体"/>
          <w:b/>
          <w:bCs/>
          <w:szCs w:val="21"/>
        </w:rPr>
      </w:pPr>
      <w:r>
        <w:rPr>
          <w:rFonts w:hint="eastAsia" w:ascii="宋体" w:hAnsi="宋体"/>
          <w:b/>
          <w:bCs/>
          <w:szCs w:val="21"/>
        </w:rPr>
        <w:t>5、双方约定</w:t>
      </w:r>
    </w:p>
    <w:p>
      <w:pPr>
        <w:pStyle w:val="32"/>
        <w:adjustRightInd w:val="0"/>
        <w:snapToGrid w:val="0"/>
        <w:ind w:firstLine="420" w:firstLineChars="200"/>
        <w:rPr>
          <w:szCs w:val="21"/>
        </w:rPr>
      </w:pPr>
      <w:r>
        <w:rPr>
          <w:rFonts w:hint="eastAsia"/>
          <w:szCs w:val="21"/>
        </w:rPr>
        <w:t>本合同由双方或其上级部门负责监督执行，并由双方或其上级部门相互约请对本合同执行情况进行检查。</w:t>
      </w:r>
    </w:p>
    <w:p>
      <w:pPr>
        <w:adjustRightInd w:val="0"/>
        <w:snapToGrid w:val="0"/>
        <w:ind w:firstLine="422" w:firstLineChars="200"/>
        <w:rPr>
          <w:rFonts w:ascii="宋体" w:hAnsi="宋体"/>
          <w:b/>
          <w:bCs/>
          <w:szCs w:val="21"/>
        </w:rPr>
      </w:pPr>
      <w:r>
        <w:rPr>
          <w:rFonts w:hint="eastAsia" w:ascii="宋体" w:hAnsi="宋体"/>
          <w:b/>
          <w:bCs/>
          <w:szCs w:val="21"/>
        </w:rPr>
        <w:t>6、合同生效</w:t>
      </w:r>
    </w:p>
    <w:p>
      <w:pPr>
        <w:adjustRightInd w:val="0"/>
        <w:snapToGrid w:val="0"/>
        <w:ind w:firstLine="420" w:firstLineChars="200"/>
        <w:rPr>
          <w:rFonts w:ascii="宋体" w:hAnsi="宋体"/>
          <w:szCs w:val="21"/>
        </w:rPr>
      </w:pPr>
      <w:r>
        <w:rPr>
          <w:rFonts w:hint="eastAsia" w:ascii="宋体" w:hAnsi="宋体"/>
          <w:szCs w:val="21"/>
        </w:rPr>
        <w:t>本合同的有效期，自双方签署之日起至该工程竣工验收合格之日止。</w:t>
      </w:r>
    </w:p>
    <w:p>
      <w:pPr>
        <w:adjustRightInd w:val="0"/>
        <w:snapToGrid w:val="0"/>
        <w:ind w:firstLine="422" w:firstLineChars="200"/>
        <w:rPr>
          <w:rFonts w:ascii="宋体" w:hAnsi="宋体"/>
          <w:b/>
          <w:bCs/>
          <w:szCs w:val="21"/>
        </w:rPr>
      </w:pPr>
      <w:r>
        <w:rPr>
          <w:rFonts w:hint="eastAsia" w:ascii="宋体" w:hAnsi="宋体"/>
          <w:b/>
          <w:bCs/>
          <w:szCs w:val="21"/>
        </w:rPr>
        <w:t>7、合同法律效力</w:t>
      </w:r>
    </w:p>
    <w:p>
      <w:pPr>
        <w:adjustRightInd w:val="0"/>
        <w:snapToGrid w:val="0"/>
        <w:ind w:firstLine="420" w:firstLineChars="200"/>
        <w:rPr>
          <w:rFonts w:ascii="宋体" w:hAnsi="宋体"/>
          <w:szCs w:val="21"/>
        </w:rPr>
      </w:pPr>
      <w:r>
        <w:rPr>
          <w:rFonts w:hint="eastAsia" w:ascii="宋体" w:hAnsi="宋体"/>
          <w:szCs w:val="21"/>
        </w:rPr>
        <w:t>本合同作为</w:t>
      </w:r>
      <w:r>
        <w:rPr>
          <w:rFonts w:hint="eastAsia" w:ascii="宋体" w:hAnsi="宋体"/>
          <w:szCs w:val="21"/>
          <w:u w:val="single"/>
          <w:lang w:eastAsia="zh-CN"/>
        </w:rPr>
        <w:t>上林观湖苑幼儿园（第二次招标）</w:t>
      </w:r>
      <w:r>
        <w:rPr>
          <w:rFonts w:hint="eastAsia" w:ascii="宋体" w:hAnsi="宋体"/>
          <w:szCs w:val="21"/>
        </w:rPr>
        <w:t>（工程名称） 工程施工合同的附件，与施工合同具有同等的法律效力，经双方签署后生效。</w:t>
      </w:r>
    </w:p>
    <w:p>
      <w:pPr>
        <w:adjustRightInd w:val="0"/>
        <w:snapToGrid w:val="0"/>
        <w:ind w:firstLine="422" w:firstLineChars="200"/>
        <w:rPr>
          <w:rFonts w:ascii="宋体" w:hAnsi="宋体"/>
          <w:b/>
          <w:bCs/>
          <w:szCs w:val="21"/>
        </w:rPr>
      </w:pPr>
      <w:r>
        <w:rPr>
          <w:rFonts w:hint="eastAsia" w:ascii="宋体" w:hAnsi="宋体"/>
          <w:b/>
          <w:bCs/>
          <w:szCs w:val="21"/>
        </w:rPr>
        <w:t>8、合同份数</w:t>
      </w:r>
    </w:p>
    <w:p>
      <w:pPr>
        <w:adjustRightInd w:val="0"/>
        <w:snapToGrid w:val="0"/>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肆</w:t>
      </w:r>
      <w:r>
        <w:rPr>
          <w:rFonts w:hint="eastAsia" w:ascii="宋体" w:hAnsi="宋体"/>
          <w:szCs w:val="21"/>
        </w:rPr>
        <w:t>份，双方各执</w:t>
      </w:r>
      <w:r>
        <w:rPr>
          <w:rFonts w:hint="eastAsia" w:ascii="宋体" w:hAnsi="宋体"/>
          <w:szCs w:val="21"/>
          <w:u w:val="single"/>
        </w:rPr>
        <w:t xml:space="preserve"> 贰 </w:t>
      </w:r>
      <w:r>
        <w:rPr>
          <w:rFonts w:hint="eastAsia" w:ascii="宋体" w:hAnsi="宋体"/>
          <w:szCs w:val="21"/>
        </w:rPr>
        <w:t>份。（与合同份数不一致，请调整）有上级部门的，双方应送交其上级部门各一份。</w:t>
      </w:r>
    </w:p>
    <w:p>
      <w:pPr>
        <w:adjustRightInd w:val="0"/>
        <w:snapToGrid w:val="0"/>
        <w:ind w:firstLine="420" w:firstLineChars="200"/>
        <w:rPr>
          <w:rFonts w:ascii="宋体" w:hAnsi="宋体"/>
          <w:szCs w:val="21"/>
        </w:rPr>
      </w:pPr>
    </w:p>
    <w:p>
      <w:pPr>
        <w:adjustRightInd w:val="0"/>
        <w:snapToGrid w:val="0"/>
        <w:ind w:firstLine="420" w:firstLineChars="200"/>
        <w:rPr>
          <w:rFonts w:ascii="宋体" w:hAnsi="宋体"/>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rPr>
      </w:pPr>
      <w:r>
        <w:rPr>
          <w:rFonts w:hint="eastAsia" w:ascii="宋体" w:hAnsi="宋体"/>
          <w:szCs w:val="21"/>
        </w:rPr>
        <w:t xml:space="preserve">      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tabs>
          <w:tab w:val="left" w:pos="525"/>
          <w:tab w:val="left" w:pos="1155"/>
        </w:tabs>
        <w:adjustRightInd w:val="0"/>
        <w:snapToGrid w:val="0"/>
        <w:rPr>
          <w:rFonts w:ascii="宋体"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tabs>
          <w:tab w:val="left" w:pos="4680"/>
        </w:tabs>
        <w:spacing w:line="360" w:lineRule="auto"/>
        <w:ind w:firstLine="480" w:firstLineChars="200"/>
        <w:rPr>
          <w:rFonts w:ascii="宋体" w:hAnsi="宋体" w:cs="??"/>
          <w:sz w:val="24"/>
        </w:rPr>
      </w:pPr>
    </w:p>
    <w:p>
      <w:pPr>
        <w:pStyle w:val="4"/>
      </w:pPr>
    </w:p>
    <w:p>
      <w:pPr>
        <w:spacing w:line="400" w:lineRule="exact"/>
      </w:pPr>
      <w:bookmarkStart w:id="119" w:name="_Toc144974834"/>
      <w:bookmarkStart w:id="120" w:name="_Toc152045772"/>
      <w:bookmarkStart w:id="121" w:name="_Toc359208663"/>
      <w:bookmarkStart w:id="122" w:name="_Toc152042554"/>
    </w:p>
    <w:p>
      <w:pPr>
        <w:spacing w:afterLines="150" w:line="380" w:lineRule="exact"/>
        <w:ind w:firstLine="560" w:firstLineChars="200"/>
        <w:jc w:val="center"/>
        <w:rPr>
          <w:rFonts w:ascii="黑体" w:hAnsi="宋体" w:eastAsia="黑体"/>
          <w:sz w:val="28"/>
          <w:szCs w:val="28"/>
        </w:rPr>
      </w:pPr>
    </w:p>
    <w:p>
      <w:pPr>
        <w:spacing w:afterLines="150" w:line="320" w:lineRule="exact"/>
        <w:jc w:val="center"/>
        <w:rPr>
          <w:rFonts w:ascii="黑体" w:hAnsi="黑体" w:eastAsia="黑体"/>
          <w:sz w:val="28"/>
          <w:szCs w:val="28"/>
        </w:rPr>
        <w:sectPr>
          <w:footerReference r:id="rId27" w:type="default"/>
          <w:pgSz w:w="11906" w:h="16838"/>
          <w:pgMar w:top="1418" w:right="1134" w:bottom="1418" w:left="1701" w:header="737" w:footer="680" w:gutter="0"/>
          <w:cols w:space="720" w:num="1"/>
          <w:docGrid w:type="lines" w:linePitch="312" w:charSpace="0"/>
        </w:sectPr>
      </w:pPr>
    </w:p>
    <w:bookmarkEnd w:id="119"/>
    <w:bookmarkEnd w:id="120"/>
    <w:bookmarkEnd w:id="121"/>
    <w:bookmarkEnd w:id="122"/>
    <w:p>
      <w:pPr>
        <w:spacing w:line="440" w:lineRule="exact"/>
        <w:jc w:val="center"/>
        <w:rPr>
          <w:sz w:val="20"/>
          <w:szCs w:val="20"/>
        </w:rPr>
      </w:pPr>
    </w:p>
    <w:p>
      <w:pPr>
        <w:spacing w:line="440" w:lineRule="exact"/>
        <w:jc w:val="center"/>
        <w:rPr>
          <w:sz w:val="20"/>
          <w:szCs w:val="20"/>
        </w:rPr>
      </w:pPr>
    </w:p>
    <w:p>
      <w:pPr>
        <w:pStyle w:val="2"/>
        <w:spacing w:before="120" w:after="120" w:line="400" w:lineRule="exact"/>
        <w:jc w:val="center"/>
        <w:rPr>
          <w:rFonts w:ascii="黑体" w:hAnsi="黑体" w:eastAsia="黑体"/>
          <w:b w:val="0"/>
          <w:bCs w:val="0"/>
          <w:sz w:val="32"/>
        </w:rPr>
      </w:pPr>
      <w:bookmarkStart w:id="123" w:name="_Toc152042571"/>
      <w:bookmarkStart w:id="124" w:name="_Toc144974851"/>
      <w:bookmarkStart w:id="125" w:name="_Toc359208674"/>
      <w:bookmarkStart w:id="126" w:name="_Toc152045782"/>
      <w:r>
        <w:rPr>
          <w:rFonts w:hint="eastAsia" w:ascii="黑体" w:hAnsi="黑体"/>
          <w:sz w:val="32"/>
          <w:szCs w:val="20"/>
        </w:rPr>
        <w:t>第五章</w:t>
      </w:r>
      <w:r>
        <w:rPr>
          <w:rFonts w:hint="eastAsia" w:ascii="黑体" w:hAnsi="黑体" w:eastAsia="黑体"/>
          <w:b w:val="0"/>
          <w:bCs w:val="0"/>
          <w:sz w:val="32"/>
        </w:rPr>
        <w:t>图  纸</w:t>
      </w:r>
      <w:bookmarkEnd w:id="123"/>
      <w:bookmarkEnd w:id="124"/>
      <w:bookmarkEnd w:id="125"/>
      <w:bookmarkEnd w:id="126"/>
    </w:p>
    <w:p>
      <w:pPr>
        <w:spacing w:before="120" w:after="120" w:line="400" w:lineRule="exact"/>
        <w:jc w:val="center"/>
        <w:rPr>
          <w:rFonts w:ascii="黑体" w:hAnsi="黑体" w:eastAsia="黑体"/>
          <w:b/>
          <w:bCs/>
          <w:sz w:val="32"/>
        </w:rPr>
      </w:pPr>
      <w:r>
        <w:rPr>
          <w:rFonts w:hint="eastAsia"/>
          <w:sz w:val="24"/>
        </w:rPr>
        <w:t>（另附）</w:t>
      </w:r>
      <w:r>
        <w:br w:type="page"/>
      </w:r>
      <w:bookmarkStart w:id="127" w:name="_Toc152042574"/>
      <w:bookmarkStart w:id="128" w:name="_Toc144974854"/>
      <w:bookmarkStart w:id="129" w:name="_Toc359208678"/>
      <w:bookmarkStart w:id="130" w:name="_Toc152045785"/>
      <w:r>
        <w:rPr>
          <w:rFonts w:hint="eastAsia" w:ascii="黑体" w:hAnsi="黑体" w:eastAsia="黑体"/>
          <w:b/>
          <w:bCs/>
          <w:sz w:val="32"/>
        </w:rPr>
        <w:t>第六章  技术标准和要求</w:t>
      </w:r>
      <w:bookmarkEnd w:id="127"/>
      <w:bookmarkEnd w:id="128"/>
      <w:bookmarkEnd w:id="129"/>
      <w:bookmarkEnd w:id="130"/>
    </w:p>
    <w:p>
      <w:pPr>
        <w:spacing w:line="400" w:lineRule="exact"/>
      </w:pPr>
    </w:p>
    <w:p>
      <w:pPr>
        <w:spacing w:line="400" w:lineRule="exact"/>
        <w:ind w:firstLine="480" w:firstLineChars="200"/>
        <w:rPr>
          <w:sz w:val="24"/>
        </w:rPr>
      </w:pPr>
      <w:r>
        <w:rPr>
          <w:rFonts w:hint="eastAsia" w:ascii="宋体" w:hAnsi="宋体"/>
          <w:sz w:val="24"/>
        </w:rPr>
        <w:t>依据设计文件的要求，本招标项目的材料、设备、施工及建设成果须达到现行的中华人民共和国、省或行业的工程建设标准及规范的要求。</w:t>
      </w:r>
    </w:p>
    <w:p>
      <w:pPr>
        <w:spacing w:line="400" w:lineRule="exact"/>
      </w:pPr>
    </w:p>
    <w:p>
      <w:pPr>
        <w:spacing w:line="400" w:lineRule="exact"/>
      </w:pPr>
    </w:p>
    <w:p>
      <w:pPr>
        <w:spacing w:line="400" w:lineRule="exact"/>
        <w:jc w:val="center"/>
      </w:pPr>
      <w:r>
        <w:br w:type="page"/>
      </w:r>
      <w:bookmarkStart w:id="131" w:name="_Toc152042575"/>
      <w:bookmarkStart w:id="132" w:name="_Toc152045786"/>
      <w:bookmarkStart w:id="133" w:name="_Toc144974855"/>
    </w:p>
    <w:p>
      <w:pPr>
        <w:spacing w:line="400" w:lineRule="exact"/>
        <w:jc w:val="center"/>
      </w:pPr>
    </w:p>
    <w:p>
      <w:pPr>
        <w:spacing w:line="400" w:lineRule="exact"/>
        <w:jc w:val="center"/>
      </w:pPr>
    </w:p>
    <w:p>
      <w:pPr>
        <w:pStyle w:val="2"/>
        <w:spacing w:before="120" w:after="120" w:line="400" w:lineRule="exact"/>
        <w:jc w:val="center"/>
        <w:rPr>
          <w:rFonts w:ascii="黑体" w:hAnsi="黑体" w:eastAsia="黑体"/>
          <w:b w:val="0"/>
          <w:bCs w:val="0"/>
          <w:sz w:val="32"/>
        </w:rPr>
      </w:pPr>
      <w:bookmarkStart w:id="134" w:name="_Toc359208680"/>
      <w:r>
        <w:rPr>
          <w:rFonts w:hint="eastAsia" w:ascii="黑体" w:hAnsi="黑体" w:eastAsia="黑体"/>
          <w:b w:val="0"/>
          <w:bCs w:val="0"/>
          <w:sz w:val="32"/>
        </w:rPr>
        <w:t>第七章  投标文件格式</w:t>
      </w:r>
      <w:bookmarkEnd w:id="131"/>
      <w:bookmarkEnd w:id="132"/>
      <w:bookmarkEnd w:id="133"/>
      <w:bookmarkEnd w:id="134"/>
    </w:p>
    <w:p>
      <w:pPr>
        <w:spacing w:line="400" w:lineRule="exact"/>
      </w:pPr>
    </w:p>
    <w:p>
      <w:pPr>
        <w:pStyle w:val="387"/>
        <w:jc w:val="center"/>
        <w:outlineLvl w:val="9"/>
      </w:pPr>
      <w:r>
        <w:br w:type="page"/>
      </w:r>
      <w:bookmarkStart w:id="135" w:name="_Toc402365064"/>
      <w:bookmarkStart w:id="136" w:name="_Toc354672417"/>
      <w:bookmarkStart w:id="137" w:name="_Toc402365063"/>
      <w:r>
        <w:rPr>
          <w:rFonts w:hint="eastAsia"/>
        </w:rPr>
        <w:t>封面格式</w:t>
      </w:r>
      <w:bookmarkEnd w:id="135"/>
      <w:bookmarkEnd w:id="136"/>
      <w:bookmarkEnd w:id="137"/>
    </w:p>
    <w:p>
      <w:pPr>
        <w:spacing w:line="440" w:lineRule="exact"/>
        <w:jc w:val="right"/>
        <w:rPr>
          <w:rFonts w:eastAsia="黑体"/>
          <w:sz w:val="28"/>
          <w:szCs w:val="28"/>
        </w:rPr>
      </w:pPr>
      <w:r>
        <w:rPr>
          <w:rFonts w:hint="eastAsia" w:eastAsia="黑体"/>
          <w:sz w:val="28"/>
          <w:szCs w:val="28"/>
        </w:rPr>
        <w:t>正本或副本</w:t>
      </w:r>
    </w:p>
    <w:p>
      <w:pPr>
        <w:spacing w:line="440" w:lineRule="exact"/>
        <w:rPr>
          <w:rFonts w:eastAsia="黑体"/>
          <w:sz w:val="20"/>
          <w:szCs w:val="20"/>
        </w:rPr>
      </w:pPr>
    </w:p>
    <w:p>
      <w:pPr>
        <w:spacing w:line="440" w:lineRule="exact"/>
        <w:rPr>
          <w:rFonts w:eastAsia="黑体"/>
          <w:sz w:val="20"/>
          <w:szCs w:val="20"/>
        </w:rPr>
      </w:pPr>
    </w:p>
    <w:p>
      <w:pPr>
        <w:spacing w:line="440" w:lineRule="exact"/>
        <w:rPr>
          <w:rFonts w:eastAsia="黑体"/>
          <w:sz w:val="20"/>
          <w:szCs w:val="20"/>
        </w:rPr>
      </w:pPr>
    </w:p>
    <w:p>
      <w:pPr>
        <w:jc w:val="center"/>
        <w:rPr>
          <w:rFonts w:ascii="黑体" w:eastAsia="黑体"/>
          <w:sz w:val="28"/>
          <w:szCs w:val="28"/>
        </w:rPr>
      </w:pPr>
      <w:r>
        <w:rPr>
          <w:rFonts w:hint="eastAsia" w:eastAsia="黑体"/>
          <w:sz w:val="44"/>
          <w:szCs w:val="44"/>
          <w:u w:val="single"/>
        </w:rPr>
        <w:t xml:space="preserve">    （工程名称）   </w:t>
      </w:r>
      <w:r>
        <w:rPr>
          <w:rFonts w:hint="eastAsia" w:ascii="黑体" w:eastAsia="黑体"/>
          <w:sz w:val="44"/>
          <w:szCs w:val="44"/>
        </w:rPr>
        <w:t>施工招标</w:t>
      </w:r>
    </w:p>
    <w:p>
      <w:pPr>
        <w:rPr>
          <w:rFonts w:eastAsia="黑体"/>
          <w:sz w:val="20"/>
          <w:szCs w:val="20"/>
        </w:rPr>
      </w:pPr>
    </w:p>
    <w:p>
      <w:pPr>
        <w:rPr>
          <w:rFonts w:eastAsia="黑体"/>
          <w:sz w:val="20"/>
          <w:szCs w:val="20"/>
        </w:rPr>
      </w:pPr>
    </w:p>
    <w:p>
      <w:pPr>
        <w:rPr>
          <w:rFonts w:eastAsia="黑体"/>
          <w:sz w:val="28"/>
          <w:szCs w:val="28"/>
        </w:rPr>
      </w:pPr>
    </w:p>
    <w:p>
      <w:pPr>
        <w:rPr>
          <w:rFonts w:eastAsia="黑体"/>
          <w:sz w:val="28"/>
          <w:szCs w:val="28"/>
        </w:rPr>
      </w:pPr>
    </w:p>
    <w:p>
      <w:pPr>
        <w:jc w:val="center"/>
        <w:rPr>
          <w:rFonts w:eastAsia="黑体"/>
          <w:sz w:val="84"/>
          <w:szCs w:val="84"/>
        </w:rPr>
      </w:pPr>
      <w:r>
        <w:rPr>
          <w:rFonts w:hint="eastAsia" w:eastAsia="黑体"/>
          <w:sz w:val="84"/>
          <w:szCs w:val="84"/>
        </w:rPr>
        <w:t>投标文件</w:t>
      </w: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ind w:firstLine="840" w:firstLineChars="300"/>
        <w:rPr>
          <w:rFonts w:eastAsia="黑体"/>
          <w:sz w:val="28"/>
          <w:szCs w:val="28"/>
        </w:rPr>
      </w:pPr>
      <w:r>
        <w:rPr>
          <w:rFonts w:eastAsia="黑体"/>
          <w:sz w:val="28"/>
          <w:szCs w:val="28"/>
        </w:rPr>
        <w:t>投标人：（盖单位章）</w:t>
      </w:r>
    </w:p>
    <w:p>
      <w:pPr>
        <w:jc w:val="center"/>
        <w:rPr>
          <w:rFonts w:eastAsia="黑体"/>
          <w:sz w:val="28"/>
          <w:szCs w:val="28"/>
          <w:u w:val="single"/>
        </w:rPr>
      </w:pPr>
    </w:p>
    <w:p>
      <w:pPr>
        <w:ind w:firstLine="840" w:firstLineChars="300"/>
        <w:rPr>
          <w:rFonts w:eastAsia="黑体"/>
          <w:sz w:val="28"/>
          <w:szCs w:val="28"/>
        </w:rPr>
      </w:pPr>
      <w:r>
        <w:rPr>
          <w:rFonts w:eastAsia="黑体"/>
          <w:sz w:val="28"/>
          <w:szCs w:val="28"/>
        </w:rPr>
        <w:t>法定代表人或其委托代理人：（签字</w:t>
      </w:r>
      <w:r>
        <w:rPr>
          <w:rFonts w:hint="eastAsia" w:eastAsia="黑体"/>
          <w:sz w:val="28"/>
          <w:szCs w:val="28"/>
        </w:rPr>
        <w:t>或加盖印鉴</w:t>
      </w:r>
      <w:r>
        <w:rPr>
          <w:rFonts w:eastAsia="黑体"/>
          <w:sz w:val="28"/>
          <w:szCs w:val="28"/>
        </w:rPr>
        <w:t>）</w:t>
      </w:r>
    </w:p>
    <w:p>
      <w:pPr>
        <w:jc w:val="center"/>
        <w:rPr>
          <w:rFonts w:eastAsia="黑体"/>
          <w:sz w:val="28"/>
          <w:szCs w:val="28"/>
          <w:u w:val="single"/>
        </w:rPr>
      </w:pPr>
    </w:p>
    <w:p>
      <w:pPr>
        <w:ind w:firstLine="840" w:firstLineChars="300"/>
        <w:rPr>
          <w:rFonts w:eastAsia="黑体"/>
          <w:sz w:val="28"/>
          <w:szCs w:val="28"/>
        </w:rPr>
      </w:pPr>
      <w:r>
        <w:rPr>
          <w:rFonts w:eastAsia="黑体"/>
          <w:sz w:val="28"/>
          <w:szCs w:val="28"/>
        </w:rPr>
        <w:t>年月日</w:t>
      </w:r>
    </w:p>
    <w:p>
      <w:pPr>
        <w:spacing w:line="440" w:lineRule="exact"/>
        <w:rPr>
          <w:rFonts w:eastAsia="黑体"/>
          <w:sz w:val="20"/>
          <w:szCs w:val="20"/>
        </w:rPr>
      </w:pPr>
    </w:p>
    <w:p>
      <w:pPr>
        <w:pStyle w:val="387"/>
        <w:keepNext w:val="0"/>
        <w:keepLines w:val="0"/>
        <w:outlineLvl w:val="9"/>
      </w:pPr>
      <w:bookmarkStart w:id="198" w:name="_GoBack"/>
      <w:bookmarkEnd w:id="198"/>
    </w:p>
    <w:p>
      <w:pPr>
        <w:pStyle w:val="387"/>
        <w:keepNext w:val="0"/>
        <w:keepLines w:val="0"/>
        <w:outlineLvl w:val="9"/>
      </w:pPr>
    </w:p>
    <w:p>
      <w:pPr>
        <w:spacing w:line="400" w:lineRule="exact"/>
      </w:pPr>
      <w:r>
        <w:br w:type="page"/>
      </w:r>
    </w:p>
    <w:p>
      <w:pPr>
        <w:pStyle w:val="387"/>
        <w:jc w:val="center"/>
        <w:outlineLvl w:val="9"/>
      </w:pPr>
      <w:bookmarkStart w:id="138" w:name="_Toc402365065"/>
      <w:bookmarkStart w:id="139" w:name="_Toc354672418"/>
      <w:r>
        <w:rPr>
          <w:rFonts w:hint="eastAsia"/>
        </w:rPr>
        <w:t>目    录</w:t>
      </w:r>
      <w:bookmarkEnd w:id="138"/>
      <w:bookmarkEnd w:id="139"/>
    </w:p>
    <w:p>
      <w:pPr>
        <w:spacing w:line="540" w:lineRule="exact"/>
      </w:pP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一、</w:t>
      </w:r>
      <w:r>
        <w:rPr>
          <w:rFonts w:hint="eastAsia" w:ascii="宋体" w:hAnsi="宋体" w:cs="仿宋_GB2312"/>
          <w:kern w:val="0"/>
          <w:sz w:val="24"/>
        </w:rPr>
        <w:t>诚信投标承诺书；</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二、</w:t>
      </w:r>
      <w:r>
        <w:rPr>
          <w:rFonts w:hint="eastAsia" w:ascii="宋体" w:hAnsi="宋体" w:cs="仿宋_GB2312"/>
          <w:kern w:val="0"/>
          <w:sz w:val="24"/>
        </w:rPr>
        <w:t>投标函及投标函附录；</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三、法定代表人</w:t>
      </w:r>
      <w:r>
        <w:rPr>
          <w:rFonts w:hint="eastAsia" w:ascii="宋体" w:hAnsi="宋体" w:cs="仿宋_GB2312"/>
          <w:kern w:val="0"/>
          <w:sz w:val="24"/>
        </w:rPr>
        <w:t>证明书</w:t>
      </w:r>
      <w:r>
        <w:rPr>
          <w:rFonts w:hint="eastAsia" w:ascii="宋体" w:hAnsi="宋体"/>
          <w:kern w:val="0"/>
          <w:sz w:val="24"/>
          <w:szCs w:val="20"/>
        </w:rPr>
        <w:t>、授权委托书</w:t>
      </w:r>
      <w:r>
        <w:rPr>
          <w:rFonts w:hint="eastAsia" w:ascii="宋体" w:hAnsi="宋体" w:cs="仿宋_GB2312"/>
          <w:kern w:val="0"/>
          <w:sz w:val="24"/>
        </w:rPr>
        <w:t>；</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cs="仿宋_GB2312"/>
          <w:kern w:val="0"/>
          <w:sz w:val="24"/>
        </w:rPr>
        <w:t>四、技术汇总</w:t>
      </w:r>
      <w:r>
        <w:rPr>
          <w:rFonts w:hint="eastAsia" w:ascii="宋体" w:hAnsi="宋体"/>
          <w:kern w:val="0"/>
          <w:sz w:val="24"/>
          <w:szCs w:val="20"/>
        </w:rPr>
        <w:t>表；</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五、</w:t>
      </w:r>
      <w:r>
        <w:rPr>
          <w:rFonts w:hint="eastAsia" w:ascii="宋体" w:hAnsi="宋体" w:cs="仿宋_GB2312"/>
          <w:kern w:val="0"/>
          <w:sz w:val="24"/>
        </w:rPr>
        <w:t>履约保证书；</w:t>
      </w:r>
    </w:p>
    <w:p>
      <w:pPr>
        <w:autoSpaceDE w:val="0"/>
        <w:autoSpaceDN w:val="0"/>
        <w:adjustRightInd w:val="0"/>
        <w:spacing w:line="360" w:lineRule="auto"/>
        <w:ind w:firstLine="480" w:firstLineChars="200"/>
        <w:jc w:val="left"/>
        <w:rPr>
          <w:rFonts w:ascii="宋体" w:hAnsi="宋体"/>
          <w:b/>
          <w:kern w:val="0"/>
          <w:sz w:val="24"/>
          <w:szCs w:val="20"/>
        </w:rPr>
      </w:pPr>
      <w:r>
        <w:rPr>
          <w:rFonts w:hint="eastAsia" w:ascii="宋体" w:hAnsi="宋体"/>
          <w:kern w:val="0"/>
          <w:sz w:val="24"/>
          <w:szCs w:val="20"/>
        </w:rPr>
        <w:t>六、</w:t>
      </w:r>
      <w:r>
        <w:rPr>
          <w:rFonts w:hint="eastAsia" w:ascii="宋体" w:hAnsi="宋体" w:cs="仿宋_GB2312"/>
          <w:kern w:val="0"/>
          <w:sz w:val="24"/>
        </w:rPr>
        <w:t>投标人须知前附表规定的其他材料；</w:t>
      </w:r>
    </w:p>
    <w:p>
      <w:pPr>
        <w:spacing w:line="540" w:lineRule="exact"/>
        <w:outlineLvl w:val="1"/>
        <w:rPr>
          <w:rFonts w:ascii="黑体" w:eastAsia="黑体"/>
          <w:sz w:val="28"/>
          <w:szCs w:val="28"/>
        </w:rPr>
      </w:pPr>
      <w:r>
        <w:br w:type="page"/>
      </w:r>
      <w:bookmarkStart w:id="140" w:name="_Toc354672419"/>
      <w:bookmarkStart w:id="141" w:name="_Toc402365066"/>
      <w:bookmarkStart w:id="142" w:name="_Toc430795459"/>
      <w:bookmarkStart w:id="143" w:name="_Toc393750131"/>
      <w:r>
        <w:rPr>
          <w:rFonts w:hint="eastAsia" w:ascii="黑体" w:hAnsi="Tahoma"/>
          <w:sz w:val="28"/>
        </w:rPr>
        <w:t>一、</w:t>
      </w:r>
      <w:bookmarkEnd w:id="140"/>
      <w:bookmarkEnd w:id="141"/>
      <w:r>
        <w:rPr>
          <w:rFonts w:hint="eastAsia" w:ascii="黑体" w:eastAsia="黑体"/>
          <w:sz w:val="28"/>
          <w:szCs w:val="28"/>
        </w:rPr>
        <w:t>诚信投标承诺书</w:t>
      </w:r>
      <w:bookmarkEnd w:id="142"/>
    </w:p>
    <w:p>
      <w:pPr>
        <w:spacing w:line="540" w:lineRule="exact"/>
        <w:jc w:val="center"/>
        <w:rPr>
          <w:rFonts w:ascii="宋体" w:hAnsi="宋体" w:cs="宋体"/>
          <w:b/>
          <w:kern w:val="0"/>
          <w:sz w:val="32"/>
          <w:szCs w:val="32"/>
          <w:u w:val="single"/>
        </w:rPr>
      </w:pPr>
      <w:r>
        <w:rPr>
          <w:rFonts w:hint="eastAsia" w:ascii="黑体" w:hAnsi="Tahoma"/>
          <w:b/>
          <w:sz w:val="32"/>
          <w:szCs w:val="20"/>
        </w:rPr>
        <w:t>诚信投标承诺书</w:t>
      </w:r>
    </w:p>
    <w:p>
      <w:pPr>
        <w:spacing w:line="400" w:lineRule="exact"/>
        <w:rPr>
          <w:rFonts w:ascii="黑体" w:eastAsia="黑体"/>
          <w:sz w:val="24"/>
          <w:u w:val="single"/>
        </w:rPr>
      </w:pPr>
      <w:r>
        <w:rPr>
          <w:rFonts w:hint="eastAsia" w:ascii="宋体" w:hAnsi="宋体" w:cs="宋体"/>
          <w:kern w:val="0"/>
          <w:sz w:val="24"/>
        </w:rPr>
        <w:t>致：</w:t>
      </w:r>
      <w:r>
        <w:rPr>
          <w:rFonts w:hint="eastAsia" w:ascii="宋体" w:hAnsi="宋体" w:cs="宋体"/>
          <w:kern w:val="0"/>
          <w:sz w:val="24"/>
          <w:u w:val="single"/>
        </w:rPr>
        <w:t xml:space="preserve">        （招标人）     </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本人以法定代表人的身份代表本单位郑重承诺：</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一、本单位将遵循公开、公正和诚实信用的原则参加</w:t>
      </w:r>
      <w:r>
        <w:rPr>
          <w:rFonts w:hint="eastAsia" w:ascii="宋体" w:hAnsi="宋体" w:cs="宋体"/>
          <w:kern w:val="0"/>
          <w:sz w:val="24"/>
          <w:u w:val="single"/>
          <w:lang w:eastAsia="zh-CN"/>
        </w:rPr>
        <w:t>上林观湖苑幼儿园（第二次招标）</w:t>
      </w:r>
      <w:r>
        <w:rPr>
          <w:rFonts w:hint="eastAsia" w:ascii="宋体" w:hAnsi="宋体" w:cs="宋体"/>
          <w:kern w:val="0"/>
          <w:sz w:val="24"/>
        </w:rPr>
        <w:t>施工项目的投标。</w:t>
      </w:r>
    </w:p>
    <w:p>
      <w:pPr>
        <w:widowControl/>
        <w:shd w:val="clear" w:color="auto" w:fill="FFFFFF"/>
        <w:spacing w:line="400" w:lineRule="exact"/>
        <w:ind w:firstLine="420"/>
        <w:rPr>
          <w:rFonts w:ascii="Calibri" w:hAnsi="Calibri"/>
          <w:kern w:val="0"/>
          <w:sz w:val="24"/>
          <w:szCs w:val="20"/>
        </w:rPr>
      </w:pPr>
      <w:r>
        <w:rPr>
          <w:rFonts w:hint="eastAsia" w:ascii="宋体" w:hAnsi="宋体" w:cs="宋体"/>
          <w:kern w:val="0"/>
          <w:sz w:val="24"/>
        </w:rPr>
        <w:t>二、本单位所提供的一切材料都是真实、有效、合法的，没有伪（变）造或虚假成份。</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三、本单位近三年（自邀请书发布之日上溯）没有发生围标串标、严重违约、重大工程质量问题、重大安全生产事故以及贿赂等违法违规行为。</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四、自觉维护招投标市场秩序，不以他人名义投标，不出借、转让、买卖、伪造企业或从业人员的资质证书、证照、业绩、获奖表彰等相关资信证明文件和印章，也不允许其他企业或个人以本单位名义投标。</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五、依法公平竞争，不组织、不参与围标串标，不采取虚假或恶意投诉等不正当手段损害、侵犯招标人或其他投标人的正当权益。</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六、保证参加投标的建造师没有在其他在建工程中担任项目负责人，如相关网站载明该建造师有在建工程信息，在资格审查资料中须提交建设单位出具的建造师变更手续或工程竣工验收报告。否则在资格审查时发现或中标后有投诉被查实，视为故意隐瞒事实、弄虚作假。</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以上内容本人已仔细阅读，本单位如违反上述承诺内容，愿意接受行业主管部门的处理（处罚），并承担以下后果：</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1、取消本单位在本项目中的投标资格或中标资格；</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2、同意将本单位不良行为记入佛山市建筑诚信评价体系管理平台；</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3、暂停本单位一至三年内在佛山市行政区域参加建设工程的投标资格。</w:t>
      </w: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Calibri" w:hAnsi="Calibri" w:cs="宋体"/>
          <w:kern w:val="0"/>
          <w:sz w:val="24"/>
        </w:rPr>
      </w:pPr>
      <w:r>
        <w:rPr>
          <w:rFonts w:hint="eastAsia" w:ascii="宋体" w:hAnsi="宋体" w:cs="宋体"/>
          <w:kern w:val="0"/>
          <w:sz w:val="24"/>
        </w:rPr>
        <w:t>投标单位（公章）：</w:t>
      </w: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Calibri" w:hAnsi="Calibri" w:cs="宋体"/>
          <w:kern w:val="0"/>
          <w:sz w:val="24"/>
        </w:rPr>
      </w:pPr>
      <w:r>
        <w:rPr>
          <w:rFonts w:hint="eastAsia" w:ascii="宋体" w:hAnsi="宋体" w:cs="宋体"/>
          <w:kern w:val="0"/>
          <w:sz w:val="24"/>
        </w:rPr>
        <w:t xml:space="preserve">法定代表人（签字）： </w:t>
      </w:r>
    </w:p>
    <w:p>
      <w:pPr>
        <w:widowControl/>
        <w:shd w:val="clear" w:color="auto" w:fill="FFFFFF"/>
        <w:spacing w:line="400" w:lineRule="exact"/>
        <w:ind w:right="480"/>
        <w:rPr>
          <w:rFonts w:ascii="宋体" w:hAnsi="宋体"/>
          <w:kern w:val="0"/>
          <w:sz w:val="24"/>
          <w:szCs w:val="20"/>
        </w:rPr>
      </w:pPr>
    </w:p>
    <w:p>
      <w:pPr>
        <w:widowControl/>
        <w:shd w:val="clear" w:color="auto" w:fill="FFFFFF"/>
        <w:spacing w:line="400" w:lineRule="exact"/>
        <w:ind w:right="480"/>
        <w:rPr>
          <w:rFonts w:ascii="Calibri" w:hAnsi="Calibri" w:cs="宋体"/>
          <w:kern w:val="0"/>
          <w:sz w:val="24"/>
        </w:rPr>
      </w:pPr>
      <w:r>
        <w:rPr>
          <w:rFonts w:hint="eastAsia" w:ascii="宋体" w:hAnsi="宋体" w:cs="宋体"/>
          <w:kern w:val="0"/>
          <w:sz w:val="24"/>
        </w:rPr>
        <w:t>年月日</w:t>
      </w:r>
    </w:p>
    <w:p>
      <w:pPr>
        <w:pStyle w:val="3"/>
        <w:rPr>
          <w:rFonts w:ascii="宋体" w:hAnsi="宋体"/>
          <w:kern w:val="0"/>
          <w:sz w:val="24"/>
        </w:rPr>
      </w:pPr>
      <w:bookmarkStart w:id="144" w:name="_Toc144974857"/>
      <w:bookmarkStart w:id="145" w:name="_Toc152045788"/>
      <w:bookmarkStart w:id="146" w:name="_Toc280259817"/>
      <w:bookmarkStart w:id="147" w:name="_Toc354672431"/>
      <w:bookmarkStart w:id="148" w:name="_Toc306284266"/>
      <w:bookmarkStart w:id="149" w:name="_Toc152042577"/>
      <w:r>
        <w:rPr>
          <w:kern w:val="0"/>
        </w:rPr>
        <w:br w:type="page"/>
      </w:r>
      <w:bookmarkStart w:id="150" w:name="_Toc430795460"/>
      <w:r>
        <w:rPr>
          <w:rFonts w:hint="eastAsia" w:ascii="宋体" w:hAnsi="宋体" w:eastAsia="宋体" w:cs="TimesNewRomanPSMT"/>
          <w:kern w:val="0"/>
          <w:sz w:val="24"/>
          <w:szCs w:val="24"/>
        </w:rPr>
        <w:t>二</w:t>
      </w:r>
      <w:r>
        <w:rPr>
          <w:rFonts w:hint="eastAsia" w:ascii="宋体" w:hAnsi="宋体"/>
          <w:kern w:val="0"/>
          <w:sz w:val="24"/>
          <w:szCs w:val="20"/>
        </w:rPr>
        <w:t>、投标函及投标函附录</w:t>
      </w:r>
      <w:bookmarkEnd w:id="143"/>
      <w:bookmarkEnd w:id="144"/>
      <w:bookmarkEnd w:id="145"/>
      <w:bookmarkEnd w:id="146"/>
      <w:bookmarkEnd w:id="147"/>
      <w:bookmarkEnd w:id="148"/>
      <w:bookmarkEnd w:id="149"/>
      <w:bookmarkEnd w:id="150"/>
    </w:p>
    <w:p>
      <w:pPr>
        <w:pStyle w:val="4"/>
        <w:jc w:val="center"/>
        <w:rPr>
          <w:rFonts w:ascii="宋体" w:hAnsi="宋体"/>
          <w:kern w:val="0"/>
        </w:rPr>
      </w:pPr>
      <w:bookmarkStart w:id="151" w:name="_Toc354672432"/>
      <w:bookmarkStart w:id="152" w:name="_Toc152045789"/>
      <w:bookmarkStart w:id="153" w:name="_Toc152042578"/>
      <w:bookmarkStart w:id="154" w:name="_Toc306284267"/>
      <w:bookmarkStart w:id="155" w:name="_Toc144974858"/>
      <w:bookmarkStart w:id="156" w:name="_Toc280259818"/>
      <w:bookmarkStart w:id="157" w:name="_Toc393750132"/>
      <w:r>
        <w:rPr>
          <w:rFonts w:hint="eastAsia" w:ascii="宋体" w:hAnsi="宋体"/>
          <w:kern w:val="0"/>
          <w:sz w:val="24"/>
          <w:szCs w:val="20"/>
        </w:rPr>
        <w:t>（一）投标函</w:t>
      </w:r>
      <w:bookmarkEnd w:id="151"/>
      <w:bookmarkEnd w:id="152"/>
      <w:bookmarkEnd w:id="153"/>
      <w:bookmarkEnd w:id="154"/>
      <w:bookmarkEnd w:id="155"/>
      <w:bookmarkEnd w:id="156"/>
      <w:bookmarkEnd w:id="157"/>
    </w:p>
    <w:p>
      <w:pPr>
        <w:spacing w:line="480" w:lineRule="exact"/>
        <w:rPr>
          <w:rFonts w:ascii="宋体" w:hAnsi="宋体"/>
          <w:sz w:val="24"/>
          <w:szCs w:val="20"/>
        </w:rPr>
      </w:pPr>
      <w:r>
        <w:rPr>
          <w:rFonts w:hint="eastAsia" w:ascii="宋体" w:hAnsi="宋体"/>
          <w:sz w:val="24"/>
          <w:szCs w:val="20"/>
        </w:rPr>
        <w:t>（招标人名称）</w:t>
      </w:r>
    </w:p>
    <w:p>
      <w:pPr>
        <w:spacing w:line="480" w:lineRule="exact"/>
        <w:ind w:firstLine="480" w:firstLineChars="200"/>
        <w:rPr>
          <w:rFonts w:ascii="宋体" w:hAnsi="宋体"/>
          <w:szCs w:val="21"/>
        </w:rPr>
      </w:pPr>
      <w:r>
        <w:rPr>
          <w:rFonts w:hint="eastAsia" w:ascii="宋体" w:hAnsi="宋体"/>
          <w:sz w:val="24"/>
          <w:szCs w:val="20"/>
        </w:rPr>
        <w:t>1</w:t>
      </w:r>
      <w:r>
        <w:rPr>
          <w:rFonts w:hint="eastAsia" w:ascii="宋体" w:hAnsi="宋体"/>
          <w:szCs w:val="21"/>
        </w:rPr>
        <w:t>、在考察现场并充分</w:t>
      </w:r>
      <w:r>
        <w:rPr>
          <w:rFonts w:hint="eastAsia" w:ascii="宋体" w:hAnsi="宋体"/>
          <w:sz w:val="24"/>
          <w:szCs w:val="20"/>
        </w:rPr>
        <w:t>研究</w:t>
      </w:r>
      <w:r>
        <w:rPr>
          <w:rFonts w:hint="eastAsia" w:ascii="宋体" w:hAnsi="宋体"/>
          <w:sz w:val="24"/>
          <w:szCs w:val="20"/>
          <w:u w:val="single"/>
          <w:lang w:eastAsia="zh-CN"/>
        </w:rPr>
        <w:t>上林观湖苑幼儿园（第二次招标）</w:t>
      </w:r>
      <w:r>
        <w:rPr>
          <w:rFonts w:hint="eastAsia" w:ascii="宋体" w:hAnsi="宋体"/>
          <w:szCs w:val="21"/>
        </w:rPr>
        <w:t>（项目名称）（以下简称“本工程”）施工</w:t>
      </w:r>
      <w:r>
        <w:rPr>
          <w:rFonts w:hint="eastAsia" w:ascii="宋体" w:hAnsi="宋体"/>
          <w:sz w:val="24"/>
          <w:szCs w:val="20"/>
        </w:rPr>
        <w:t>招标文件的全部内容</w:t>
      </w:r>
      <w:r>
        <w:rPr>
          <w:rFonts w:hint="eastAsia" w:ascii="宋体" w:hAnsi="宋体"/>
          <w:szCs w:val="21"/>
        </w:rPr>
        <w:t>后，我方兹</w:t>
      </w:r>
      <w:r>
        <w:rPr>
          <w:rFonts w:hint="eastAsia" w:ascii="宋体" w:hAnsi="宋体"/>
          <w:sz w:val="24"/>
          <w:szCs w:val="20"/>
        </w:rPr>
        <w:t>以</w:t>
      </w:r>
      <w:r>
        <w:rPr>
          <w:rFonts w:hint="eastAsia" w:ascii="宋体" w:hAnsi="宋体"/>
          <w:szCs w:val="21"/>
        </w:rPr>
        <w:t>：</w:t>
      </w:r>
    </w:p>
    <w:p>
      <w:pPr>
        <w:spacing w:line="480" w:lineRule="exact"/>
        <w:ind w:firstLine="1050" w:firstLineChars="500"/>
        <w:rPr>
          <w:rFonts w:ascii="宋体" w:hAnsi="宋体"/>
          <w:szCs w:val="21"/>
        </w:rPr>
      </w:pPr>
      <w:r>
        <w:rPr>
          <w:rFonts w:hint="eastAsia" w:ascii="宋体" w:hAnsi="宋体"/>
          <w:szCs w:val="21"/>
        </w:rPr>
        <w:t>人民币</w:t>
      </w:r>
      <w:r>
        <w:rPr>
          <w:rFonts w:hint="eastAsia" w:ascii="宋体" w:hAnsi="宋体"/>
          <w:sz w:val="24"/>
          <w:szCs w:val="20"/>
        </w:rPr>
        <w:t>（大写）</w:t>
      </w:r>
      <w:r>
        <w:rPr>
          <w:rFonts w:hint="eastAsia" w:ascii="宋体" w:hAnsi="宋体"/>
          <w:szCs w:val="21"/>
        </w:rPr>
        <w:t>：</w:t>
      </w:r>
    </w:p>
    <w:p>
      <w:pPr>
        <w:spacing w:line="480" w:lineRule="exact"/>
        <w:ind w:firstLine="1050" w:firstLineChars="500"/>
        <w:rPr>
          <w:rFonts w:ascii="宋体" w:hAnsi="宋体"/>
          <w:szCs w:val="21"/>
        </w:rPr>
      </w:pPr>
      <w:r>
        <w:rPr>
          <w:rFonts w:hint="eastAsia" w:ascii="宋体" w:hAnsi="宋体"/>
          <w:szCs w:val="21"/>
        </w:rPr>
        <w:t>RMB￥：元</w:t>
      </w:r>
    </w:p>
    <w:p>
      <w:pPr>
        <w:spacing w:line="480" w:lineRule="exact"/>
        <w:ind w:firstLine="420" w:firstLineChars="200"/>
        <w:rPr>
          <w:rFonts w:ascii="宋体" w:hAnsi="宋体"/>
          <w:szCs w:val="21"/>
        </w:rPr>
      </w:pPr>
      <w:r>
        <w:rPr>
          <w:rFonts w:hint="eastAsia" w:ascii="宋体" w:hAnsi="宋体"/>
          <w:szCs w:val="21"/>
        </w:rPr>
        <w:t>的投标价格和按合同约定有权得到的其它金额，并严格按照合同约定，施工、竣工和交付本工程并维修其中的任何缺陷。</w:t>
      </w:r>
    </w:p>
    <w:p>
      <w:pPr>
        <w:spacing w:line="440" w:lineRule="exact"/>
        <w:ind w:firstLine="480" w:firstLineChars="200"/>
        <w:rPr>
          <w:rFonts w:ascii="宋体" w:hAnsi="宋体"/>
          <w:sz w:val="24"/>
          <w:szCs w:val="20"/>
        </w:rPr>
      </w:pPr>
      <w:r>
        <w:rPr>
          <w:rFonts w:hint="eastAsia" w:ascii="宋体" w:hAnsi="宋体"/>
          <w:sz w:val="24"/>
          <w:szCs w:val="20"/>
        </w:rPr>
        <w:t>2</w:t>
      </w:r>
      <w:r>
        <w:rPr>
          <w:rFonts w:hint="eastAsia" w:ascii="宋体" w:hAnsi="宋体" w:cs="宋体"/>
          <w:szCs w:val="21"/>
        </w:rPr>
        <w:t>、</w:t>
      </w:r>
      <w:r>
        <w:rPr>
          <w:rFonts w:hint="eastAsia" w:ascii="宋体" w:hAnsi="宋体"/>
          <w:sz w:val="24"/>
          <w:szCs w:val="20"/>
        </w:rPr>
        <w:t>我方承诺在投标有效期（投标文件</w:t>
      </w:r>
      <w:r>
        <w:rPr>
          <w:rFonts w:hint="eastAsia" w:ascii="宋体" w:hAnsi="宋体" w:cs="宋体"/>
          <w:szCs w:val="21"/>
        </w:rPr>
        <w:t>截止</w:t>
      </w:r>
      <w:r>
        <w:rPr>
          <w:rFonts w:hint="eastAsia" w:ascii="宋体" w:hAnsi="宋体"/>
          <w:sz w:val="24"/>
          <w:szCs w:val="20"/>
        </w:rPr>
        <w:t>之日起</w:t>
      </w:r>
      <w:r>
        <w:rPr>
          <w:rFonts w:hint="eastAsia" w:ascii="宋体" w:hAnsi="宋体" w:cs="宋体"/>
          <w:szCs w:val="21"/>
          <w:u w:val="single"/>
          <w:lang w:val="en-US" w:eastAsia="zh-CN"/>
        </w:rPr>
        <w:t>60</w:t>
      </w:r>
      <w:r>
        <w:rPr>
          <w:rFonts w:hint="eastAsia" w:ascii="宋体" w:hAnsi="宋体"/>
          <w:sz w:val="24"/>
          <w:szCs w:val="20"/>
        </w:rPr>
        <w:t>天）内不修改、撤销投标文件。</w:t>
      </w:r>
    </w:p>
    <w:p>
      <w:pPr>
        <w:spacing w:line="440" w:lineRule="exact"/>
        <w:ind w:firstLine="480" w:firstLineChars="200"/>
        <w:rPr>
          <w:rFonts w:ascii="宋体" w:hAnsi="宋体"/>
          <w:sz w:val="24"/>
          <w:szCs w:val="20"/>
        </w:rPr>
      </w:pPr>
      <w:r>
        <w:rPr>
          <w:rFonts w:hint="eastAsia" w:ascii="宋体" w:hAnsi="宋体"/>
          <w:sz w:val="24"/>
          <w:szCs w:val="20"/>
        </w:rPr>
        <w:t>3</w:t>
      </w:r>
      <w:r>
        <w:rPr>
          <w:rFonts w:hint="eastAsia" w:ascii="宋体" w:hAnsi="宋体" w:cs="宋体"/>
          <w:szCs w:val="21"/>
        </w:rPr>
        <w:t>、</w:t>
      </w:r>
      <w:r>
        <w:rPr>
          <w:rFonts w:hint="eastAsia" w:ascii="宋体" w:hAnsi="宋体"/>
          <w:sz w:val="24"/>
          <w:szCs w:val="20"/>
        </w:rPr>
        <w:t>如我方中标：</w:t>
      </w:r>
    </w:p>
    <w:p>
      <w:pPr>
        <w:spacing w:line="480" w:lineRule="exact"/>
        <w:ind w:firstLine="420" w:firstLineChars="200"/>
        <w:rPr>
          <w:rFonts w:ascii="宋体" w:hAnsi="宋体"/>
          <w:szCs w:val="21"/>
        </w:rPr>
      </w:pPr>
      <w:r>
        <w:rPr>
          <w:rFonts w:hint="eastAsia" w:ascii="宋体" w:hAnsi="宋体"/>
          <w:szCs w:val="21"/>
        </w:rPr>
        <w:t>（1）我方承诺在收到中标通知书后，在中标通知书规定的期限内与你方签订合同。</w:t>
      </w:r>
    </w:p>
    <w:p>
      <w:pPr>
        <w:spacing w:line="480" w:lineRule="exact"/>
        <w:ind w:firstLine="420" w:firstLineChars="200"/>
        <w:rPr>
          <w:rFonts w:ascii="宋体" w:hAnsi="宋体"/>
          <w:szCs w:val="21"/>
        </w:rPr>
      </w:pPr>
      <w:r>
        <w:rPr>
          <w:rFonts w:hint="eastAsia" w:ascii="宋体" w:hAnsi="宋体"/>
          <w:szCs w:val="21"/>
        </w:rPr>
        <w:t>（2）随同本投标函递交的投标函附录属于合同文件的组成部分。</w:t>
      </w:r>
    </w:p>
    <w:p>
      <w:pPr>
        <w:spacing w:line="480" w:lineRule="exact"/>
        <w:ind w:firstLine="420" w:firstLineChars="200"/>
        <w:rPr>
          <w:rFonts w:ascii="宋体" w:hAnsi="宋体"/>
          <w:szCs w:val="21"/>
        </w:rPr>
      </w:pPr>
      <w:r>
        <w:rPr>
          <w:rFonts w:hint="eastAsia" w:ascii="宋体" w:hAnsi="宋体"/>
          <w:szCs w:val="21"/>
        </w:rPr>
        <w:t>（3）我方承诺按照招标文件规定向你方递交履约担保。</w:t>
      </w:r>
    </w:p>
    <w:p>
      <w:pPr>
        <w:spacing w:line="480" w:lineRule="exact"/>
        <w:ind w:firstLine="420" w:firstLineChars="200"/>
        <w:rPr>
          <w:rFonts w:ascii="宋体" w:hAnsi="宋体"/>
          <w:szCs w:val="21"/>
        </w:rPr>
      </w:pPr>
      <w:r>
        <w:rPr>
          <w:rFonts w:hint="eastAsia" w:ascii="宋体" w:hAnsi="宋体"/>
          <w:szCs w:val="21"/>
        </w:rPr>
        <w:t>（4）我方承诺在合同约定的期限内完成并移交全部合同工程。</w:t>
      </w:r>
    </w:p>
    <w:p>
      <w:pPr>
        <w:spacing w:line="440" w:lineRule="exact"/>
        <w:ind w:firstLine="420" w:firstLineChars="200"/>
        <w:rPr>
          <w:rFonts w:ascii="宋体" w:hAnsi="宋体"/>
          <w:sz w:val="24"/>
          <w:szCs w:val="20"/>
        </w:rPr>
      </w:pPr>
      <w:r>
        <w:rPr>
          <w:rFonts w:hint="eastAsia" w:ascii="宋体" w:hAnsi="宋体" w:cs="宋体"/>
          <w:szCs w:val="21"/>
        </w:rPr>
        <w:t>4、</w:t>
      </w:r>
      <w:r>
        <w:rPr>
          <w:rFonts w:hint="eastAsia" w:ascii="宋体" w:hAnsi="宋体"/>
          <w:sz w:val="24"/>
          <w:szCs w:val="20"/>
        </w:rPr>
        <w:t>我方在此声明，所递交的投标文件及有关资料内容完整、真实和准确，且不存在第二章“投标人须知”第</w:t>
      </w:r>
      <w:r>
        <w:rPr>
          <w:rFonts w:ascii="宋体" w:hAnsi="宋体"/>
          <w:sz w:val="24"/>
          <w:szCs w:val="20"/>
        </w:rPr>
        <w:t>1.4.3项规定的任何一种情形。</w:t>
      </w:r>
    </w:p>
    <w:p>
      <w:pPr>
        <w:spacing w:line="480" w:lineRule="exact"/>
        <w:ind w:firstLine="420" w:firstLineChars="200"/>
        <w:rPr>
          <w:rFonts w:ascii="宋体" w:hAnsi="宋体"/>
          <w:sz w:val="24"/>
          <w:szCs w:val="20"/>
        </w:rPr>
      </w:pPr>
      <w:r>
        <w:rPr>
          <w:rFonts w:hint="eastAsia" w:ascii="宋体" w:hAnsi="宋体" w:cs="宋体"/>
          <w:szCs w:val="21"/>
        </w:rPr>
        <w:t>5、</w:t>
      </w:r>
      <w:r>
        <w:rPr>
          <w:rFonts w:hint="eastAsia" w:ascii="宋体" w:hAnsi="宋体"/>
          <w:sz w:val="24"/>
          <w:szCs w:val="20"/>
        </w:rPr>
        <w:t>（其他补充说明）。</w:t>
      </w:r>
    </w:p>
    <w:p>
      <w:pPr>
        <w:spacing w:line="480" w:lineRule="exact"/>
        <w:ind w:firstLine="420" w:firstLineChars="200"/>
        <w:rPr>
          <w:rFonts w:ascii="宋体" w:hAnsi="宋体"/>
          <w:szCs w:val="21"/>
        </w:rPr>
      </w:pPr>
    </w:p>
    <w:p>
      <w:pPr>
        <w:wordWrap w:val="0"/>
        <w:spacing w:line="480" w:lineRule="exact"/>
        <w:ind w:firstLine="420" w:firstLineChars="200"/>
        <w:jc w:val="center"/>
        <w:rPr>
          <w:rFonts w:ascii="宋体" w:hAnsi="宋体"/>
          <w:szCs w:val="21"/>
        </w:rPr>
      </w:pPr>
      <w:r>
        <w:rPr>
          <w:rFonts w:hint="eastAsia" w:ascii="宋体" w:hAnsi="宋体"/>
          <w:szCs w:val="21"/>
        </w:rPr>
        <w:t xml:space="preserve">                            </w:t>
      </w:r>
      <w:r>
        <w:rPr>
          <w:rFonts w:hint="eastAsia" w:ascii="宋体" w:hAnsi="宋体"/>
          <w:sz w:val="24"/>
          <w:szCs w:val="20"/>
        </w:rPr>
        <w:t xml:space="preserve">     投标人（盖章）：  </w:t>
      </w:r>
      <w:r>
        <w:rPr>
          <w:rFonts w:hint="eastAsia" w:ascii="宋体" w:hAnsi="宋体"/>
          <w:szCs w:val="21"/>
        </w:rPr>
        <w:t xml:space="preserve">                    </w:t>
      </w:r>
    </w:p>
    <w:p>
      <w:pPr>
        <w:wordWrap w:val="0"/>
        <w:spacing w:line="480" w:lineRule="exact"/>
        <w:ind w:firstLine="420" w:firstLineChars="200"/>
        <w:jc w:val="right"/>
        <w:rPr>
          <w:rFonts w:ascii="宋体" w:hAnsi="宋体"/>
          <w:sz w:val="24"/>
          <w:szCs w:val="20"/>
        </w:rPr>
      </w:pPr>
      <w:r>
        <w:rPr>
          <w:rFonts w:hint="eastAsia" w:ascii="宋体" w:hAnsi="宋体"/>
          <w:szCs w:val="21"/>
        </w:rPr>
        <w:t xml:space="preserve">  法人</w:t>
      </w:r>
      <w:r>
        <w:rPr>
          <w:rFonts w:hint="eastAsia" w:ascii="宋体" w:hAnsi="宋体"/>
          <w:sz w:val="24"/>
          <w:szCs w:val="20"/>
        </w:rPr>
        <w:t>代表或委托代理人（签字或</w:t>
      </w:r>
      <w:r>
        <w:rPr>
          <w:rFonts w:hint="eastAsia" w:ascii="宋体" w:hAnsi="宋体"/>
          <w:szCs w:val="21"/>
        </w:rPr>
        <w:t xml:space="preserve">盖章）：        </w:t>
      </w:r>
    </w:p>
    <w:p>
      <w:pPr>
        <w:wordWrap w:val="0"/>
        <w:spacing w:line="480" w:lineRule="exact"/>
        <w:ind w:firstLine="420" w:firstLineChars="200"/>
        <w:jc w:val="right"/>
        <w:rPr>
          <w:rFonts w:ascii="宋体" w:hAnsi="宋体"/>
          <w:sz w:val="24"/>
          <w:szCs w:val="20"/>
        </w:rPr>
      </w:pPr>
      <w:r>
        <w:rPr>
          <w:rFonts w:hint="eastAsia" w:ascii="宋体" w:hAnsi="宋体"/>
          <w:szCs w:val="21"/>
        </w:rPr>
        <w:t>日期：</w:t>
      </w:r>
      <w:r>
        <w:rPr>
          <w:rFonts w:hint="eastAsia" w:ascii="宋体" w:hAnsi="宋体"/>
          <w:sz w:val="24"/>
          <w:szCs w:val="20"/>
        </w:rPr>
        <w:t>年月日</w:t>
      </w:r>
    </w:p>
    <w:p>
      <w:pPr>
        <w:pStyle w:val="4"/>
        <w:spacing w:line="400" w:lineRule="exact"/>
        <w:jc w:val="center"/>
        <w:rPr>
          <w:rFonts w:ascii="Tahoma" w:hAnsi="Tahoma"/>
        </w:rPr>
      </w:pPr>
      <w:r>
        <w:rPr>
          <w:sz w:val="21"/>
          <w:szCs w:val="21"/>
        </w:rPr>
        <w:br w:type="page"/>
      </w:r>
      <w:bookmarkStart w:id="158" w:name="_Toc144974859"/>
      <w:bookmarkStart w:id="159" w:name="_Toc152045790"/>
      <w:bookmarkStart w:id="160" w:name="_Toc306284268"/>
      <w:bookmarkStart w:id="161" w:name="_Toc393750133"/>
      <w:bookmarkStart w:id="162" w:name="_Toc354672433"/>
      <w:bookmarkStart w:id="163" w:name="_Toc152042579"/>
      <w:bookmarkStart w:id="164" w:name="_Toc280259819"/>
      <w:r>
        <w:rPr>
          <w:rFonts w:hint="eastAsia" w:ascii="Tahoma" w:hAnsi="Tahoma"/>
          <w:kern w:val="0"/>
          <w:sz w:val="24"/>
          <w:szCs w:val="20"/>
        </w:rPr>
        <w:t>（二）投标函附录</w:t>
      </w:r>
      <w:bookmarkEnd w:id="158"/>
      <w:bookmarkEnd w:id="159"/>
      <w:bookmarkEnd w:id="160"/>
      <w:bookmarkEnd w:id="161"/>
      <w:bookmarkEnd w:id="162"/>
      <w:bookmarkEnd w:id="163"/>
      <w:bookmarkEnd w:id="164"/>
    </w:p>
    <w:tbl>
      <w:tblPr>
        <w:tblStyle w:val="92"/>
        <w:tblW w:w="81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3217"/>
        <w:gridCol w:w="2700"/>
        <w:gridCol w:w="13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851" w:type="dxa"/>
            <w:vAlign w:val="center"/>
          </w:tcPr>
          <w:p>
            <w:pPr>
              <w:jc w:val="center"/>
              <w:rPr>
                <w:rFonts w:ascii="宋体" w:hAnsi="宋体" w:cs="宋体"/>
                <w:b/>
                <w:sz w:val="24"/>
              </w:rPr>
            </w:pPr>
            <w:r>
              <w:rPr>
                <w:rFonts w:hint="eastAsia" w:ascii="宋体" w:hAnsi="宋体" w:cs="宋体"/>
                <w:b/>
                <w:sz w:val="24"/>
              </w:rPr>
              <w:t>序号</w:t>
            </w:r>
          </w:p>
        </w:tc>
        <w:tc>
          <w:tcPr>
            <w:tcW w:w="3217" w:type="dxa"/>
            <w:vAlign w:val="center"/>
          </w:tcPr>
          <w:p>
            <w:pPr>
              <w:jc w:val="center"/>
              <w:rPr>
                <w:rFonts w:ascii="宋体" w:hAnsi="宋体" w:cs="宋体"/>
                <w:b/>
                <w:sz w:val="24"/>
              </w:rPr>
            </w:pPr>
            <w:r>
              <w:rPr>
                <w:rFonts w:hint="eastAsia" w:ascii="宋体" w:hAnsi="宋体" w:cs="宋体"/>
                <w:b/>
                <w:sz w:val="24"/>
              </w:rPr>
              <w:t>条款内容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b/>
                <w:sz w:val="24"/>
              </w:rPr>
              <w:t>约定内容</w:t>
            </w:r>
          </w:p>
        </w:tc>
        <w:tc>
          <w:tcPr>
            <w:tcW w:w="1354" w:type="dxa"/>
            <w:tcBorders>
              <w:left w:val="single" w:color="auto" w:sz="4" w:space="0"/>
            </w:tcBorders>
            <w:vAlign w:val="center"/>
          </w:tcPr>
          <w:p>
            <w:pPr>
              <w:jc w:val="center"/>
              <w:rPr>
                <w:rFonts w:ascii="宋体" w:hAnsi="宋体" w:cs="宋体"/>
                <w:b/>
                <w:sz w:val="24"/>
              </w:rPr>
            </w:pPr>
            <w:r>
              <w:rPr>
                <w:rFonts w:hint="eastAsia" w:ascii="宋体" w:hAnsi="宋体" w:cs="宋体"/>
                <w:b/>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 w:hRule="atLeast"/>
          <w:jc w:val="center"/>
        </w:trPr>
        <w:tc>
          <w:tcPr>
            <w:tcW w:w="851" w:type="dxa"/>
            <w:vAlign w:val="center"/>
          </w:tcPr>
          <w:p>
            <w:pPr>
              <w:jc w:val="center"/>
              <w:rPr>
                <w:rFonts w:ascii="宋体" w:hAnsi="宋体" w:cs="宋体"/>
                <w:sz w:val="24"/>
              </w:rPr>
            </w:pPr>
            <w:r>
              <w:rPr>
                <w:rFonts w:hint="eastAsia" w:ascii="宋体" w:hAnsi="宋体" w:cs="宋体"/>
                <w:sz w:val="24"/>
              </w:rPr>
              <w:t>1</w:t>
            </w:r>
          </w:p>
        </w:tc>
        <w:tc>
          <w:tcPr>
            <w:tcW w:w="3217" w:type="dxa"/>
            <w:vAlign w:val="center"/>
          </w:tcPr>
          <w:p>
            <w:pPr>
              <w:rPr>
                <w:rFonts w:ascii="宋体" w:hAnsi="宋体" w:cs="宋体"/>
                <w:sz w:val="24"/>
              </w:rPr>
            </w:pPr>
            <w:r>
              <w:rPr>
                <w:rFonts w:hint="eastAsia" w:ascii="宋体" w:hAnsi="宋体" w:cs="宋体"/>
                <w:sz w:val="24"/>
              </w:rPr>
              <w:t>项目负责人（建造师）</w:t>
            </w:r>
          </w:p>
        </w:tc>
        <w:tc>
          <w:tcPr>
            <w:tcW w:w="2700" w:type="dxa"/>
            <w:tcBorders>
              <w:right w:val="single" w:color="auto" w:sz="4" w:space="0"/>
            </w:tcBorders>
            <w:vAlign w:val="center"/>
          </w:tcPr>
          <w:p>
            <w:pPr>
              <w:rPr>
                <w:rFonts w:ascii="宋体" w:hAnsi="宋体" w:cs="宋体"/>
                <w:sz w:val="24"/>
                <w:u w:val="single"/>
              </w:rPr>
            </w:pPr>
            <w:r>
              <w:rPr>
                <w:rFonts w:hint="eastAsia" w:ascii="宋体" w:hAnsi="宋体" w:cs="宋体"/>
                <w:sz w:val="24"/>
              </w:rPr>
              <w:t>姓名：</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jc w:val="center"/>
        </w:trPr>
        <w:tc>
          <w:tcPr>
            <w:tcW w:w="851" w:type="dxa"/>
            <w:vAlign w:val="center"/>
          </w:tcPr>
          <w:p>
            <w:pPr>
              <w:jc w:val="center"/>
              <w:rPr>
                <w:rFonts w:ascii="宋体" w:hAnsi="宋体" w:cs="宋体"/>
                <w:sz w:val="24"/>
              </w:rPr>
            </w:pPr>
            <w:r>
              <w:rPr>
                <w:rFonts w:hint="eastAsia" w:ascii="宋体" w:hAnsi="宋体" w:cs="宋体"/>
                <w:sz w:val="24"/>
              </w:rPr>
              <w:t>2</w:t>
            </w:r>
          </w:p>
        </w:tc>
        <w:tc>
          <w:tcPr>
            <w:tcW w:w="3217" w:type="dxa"/>
            <w:vAlign w:val="center"/>
          </w:tcPr>
          <w:p>
            <w:pPr>
              <w:rPr>
                <w:rFonts w:ascii="宋体" w:hAnsi="宋体" w:cs="宋体"/>
                <w:b/>
                <w:sz w:val="24"/>
              </w:rPr>
            </w:pPr>
            <w:r>
              <w:rPr>
                <w:rFonts w:hint="eastAsia" w:ascii="宋体" w:hAnsi="宋体" w:cs="宋体"/>
                <w:sz w:val="24"/>
              </w:rPr>
              <w:t>工期</w:t>
            </w:r>
          </w:p>
        </w:tc>
        <w:tc>
          <w:tcPr>
            <w:tcW w:w="2700" w:type="dxa"/>
            <w:tcBorders>
              <w:right w:val="single" w:color="auto" w:sz="4" w:space="0"/>
            </w:tcBorders>
            <w:vAlign w:val="center"/>
          </w:tcPr>
          <w:p>
            <w:pPr>
              <w:jc w:val="center"/>
              <w:rPr>
                <w:rFonts w:ascii="宋体" w:hAnsi="宋体" w:cs="宋体"/>
                <w:sz w:val="24"/>
              </w:rPr>
            </w:pPr>
            <w:r>
              <w:rPr>
                <w:rFonts w:hint="eastAsia" w:ascii="宋体" w:hAnsi="宋体" w:cs="宋体"/>
                <w:sz w:val="24"/>
              </w:rPr>
              <w:t>个日历天</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851" w:type="dxa"/>
            <w:vAlign w:val="center"/>
          </w:tcPr>
          <w:p>
            <w:pPr>
              <w:jc w:val="center"/>
              <w:rPr>
                <w:rFonts w:ascii="宋体" w:hAnsi="宋体" w:cs="宋体"/>
                <w:sz w:val="24"/>
              </w:rPr>
            </w:pPr>
            <w:r>
              <w:rPr>
                <w:rFonts w:hint="eastAsia" w:ascii="宋体" w:hAnsi="宋体" w:cs="宋体"/>
                <w:sz w:val="24"/>
              </w:rPr>
              <w:t>3</w:t>
            </w:r>
          </w:p>
        </w:tc>
        <w:tc>
          <w:tcPr>
            <w:tcW w:w="3217" w:type="dxa"/>
            <w:vAlign w:val="center"/>
          </w:tcPr>
          <w:p>
            <w:pPr>
              <w:rPr>
                <w:rFonts w:ascii="宋体" w:hAnsi="宋体" w:cs="宋体"/>
                <w:sz w:val="24"/>
              </w:rPr>
            </w:pPr>
            <w:r>
              <w:rPr>
                <w:rFonts w:hint="eastAsia" w:ascii="宋体" w:hAnsi="宋体" w:cs="宋体"/>
                <w:sz w:val="24"/>
              </w:rPr>
              <w:t>质量标准</w:t>
            </w:r>
          </w:p>
        </w:tc>
        <w:tc>
          <w:tcPr>
            <w:tcW w:w="2700" w:type="dxa"/>
            <w:tcBorders>
              <w:right w:val="single" w:color="auto" w:sz="4" w:space="0"/>
            </w:tcBorders>
            <w:vAlign w:val="center"/>
          </w:tcPr>
          <w:p>
            <w:pPr>
              <w:jc w:val="center"/>
              <w:rPr>
                <w:rFonts w:ascii="宋体" w:hAnsi="宋体" w:cs="宋体"/>
                <w:snapToGrid w:val="0"/>
                <w:kern w:val="0"/>
                <w:sz w:val="24"/>
              </w:rPr>
            </w:pPr>
            <w:r>
              <w:rPr>
                <w:rFonts w:hint="eastAsia" w:ascii="宋体" w:hAnsi="宋体"/>
                <w:kern w:val="0"/>
                <w:sz w:val="24"/>
                <w:szCs w:val="20"/>
              </w:rPr>
              <w:t>合格或以上</w:t>
            </w:r>
          </w:p>
        </w:tc>
        <w:tc>
          <w:tcPr>
            <w:tcW w:w="1354" w:type="dxa"/>
            <w:tcBorders>
              <w:left w:val="single" w:color="auto" w:sz="4" w:space="0"/>
            </w:tcBorders>
            <w:vAlign w:val="center"/>
          </w:tcPr>
          <w:p>
            <w:pP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851" w:type="dxa"/>
            <w:vAlign w:val="center"/>
          </w:tcPr>
          <w:p>
            <w:pPr>
              <w:jc w:val="center"/>
              <w:rPr>
                <w:rFonts w:ascii="宋体" w:hAnsi="宋体" w:cs="宋体"/>
                <w:sz w:val="24"/>
              </w:rPr>
            </w:pPr>
            <w:r>
              <w:rPr>
                <w:rFonts w:hint="eastAsia" w:ascii="宋体" w:hAnsi="宋体" w:cs="宋体"/>
                <w:sz w:val="24"/>
              </w:rPr>
              <w:t>4</w:t>
            </w:r>
          </w:p>
        </w:tc>
        <w:tc>
          <w:tcPr>
            <w:tcW w:w="3217" w:type="dxa"/>
            <w:vAlign w:val="center"/>
          </w:tcPr>
          <w:p>
            <w:pPr>
              <w:rPr>
                <w:rFonts w:ascii="宋体" w:hAnsi="宋体" w:cs="宋体"/>
                <w:sz w:val="24"/>
              </w:rPr>
            </w:pPr>
            <w:r>
              <w:rPr>
                <w:rFonts w:hint="eastAsia" w:ascii="宋体" w:hAnsi="宋体" w:cs="宋体"/>
                <w:sz w:val="24"/>
              </w:rPr>
              <w:t>缺陷责任期</w:t>
            </w:r>
          </w:p>
        </w:tc>
        <w:tc>
          <w:tcPr>
            <w:tcW w:w="2700" w:type="dxa"/>
            <w:tcBorders>
              <w:right w:val="single" w:color="auto" w:sz="4" w:space="0"/>
            </w:tcBorders>
            <w:vAlign w:val="center"/>
          </w:tcPr>
          <w:p>
            <w:pPr>
              <w:jc w:val="center"/>
              <w:rPr>
                <w:rFonts w:ascii="宋体" w:hAnsi="宋体" w:cs="宋体"/>
                <w:snapToGrid w:val="0"/>
                <w:kern w:val="0"/>
                <w:sz w:val="24"/>
              </w:rPr>
            </w:pPr>
            <w:r>
              <w:rPr>
                <w:rFonts w:hint="eastAsia" w:ascii="宋体" w:hAnsi="宋体" w:cs="宋体"/>
                <w:snapToGrid w:val="0"/>
                <w:kern w:val="0"/>
                <w:sz w:val="24"/>
              </w:rPr>
              <w:t>12个月</w:t>
            </w:r>
          </w:p>
        </w:tc>
        <w:tc>
          <w:tcPr>
            <w:tcW w:w="1354" w:type="dxa"/>
            <w:tcBorders>
              <w:left w:val="single" w:color="auto" w:sz="4" w:space="0"/>
            </w:tcBorders>
            <w:vAlign w:val="center"/>
          </w:tcPr>
          <w:p>
            <w:pP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5</w:t>
            </w:r>
          </w:p>
        </w:tc>
        <w:tc>
          <w:tcPr>
            <w:tcW w:w="3217" w:type="dxa"/>
            <w:vAlign w:val="center"/>
          </w:tcPr>
          <w:p>
            <w:pPr>
              <w:rPr>
                <w:rFonts w:ascii="宋体" w:hAnsi="宋体" w:cs="宋体"/>
                <w:sz w:val="24"/>
              </w:rPr>
            </w:pPr>
            <w:r>
              <w:rPr>
                <w:rFonts w:hint="eastAsia" w:ascii="宋体" w:hAnsi="宋体" w:cs="宋体"/>
                <w:sz w:val="24"/>
              </w:rPr>
              <w:t>工程质量保修的约定</w:t>
            </w:r>
          </w:p>
        </w:tc>
        <w:tc>
          <w:tcPr>
            <w:tcW w:w="2700" w:type="dxa"/>
            <w:tcBorders>
              <w:right w:val="single" w:color="auto" w:sz="4" w:space="0"/>
            </w:tcBorders>
            <w:vAlign w:val="center"/>
          </w:tcPr>
          <w:p>
            <w:pPr>
              <w:jc w:val="center"/>
              <w:rPr>
                <w:rFonts w:hint="eastAsia" w:ascii="宋体" w:hAnsi="宋体" w:eastAsia="宋体" w:cs="宋体"/>
                <w:snapToGrid w:val="0"/>
                <w:kern w:val="0"/>
                <w:sz w:val="24"/>
                <w:lang w:eastAsia="zh-CN"/>
              </w:rPr>
            </w:pPr>
            <w:r>
              <w:rPr>
                <w:rFonts w:hint="eastAsia" w:ascii="宋体" w:hAnsi="宋体" w:cs="宋体"/>
                <w:snapToGrid w:val="0"/>
                <w:kern w:val="0"/>
                <w:sz w:val="24"/>
                <w:lang w:eastAsia="zh-CN"/>
              </w:rPr>
              <w:t>按</w:t>
            </w:r>
            <w:r>
              <w:rPr>
                <w:rFonts w:hint="eastAsia" w:ascii="宋体" w:hAnsi="宋体" w:cs="宋体"/>
                <w:snapToGrid w:val="0"/>
                <w:kern w:val="0"/>
                <w:sz w:val="24"/>
              </w:rPr>
              <w:t>工程质量保修书</w:t>
            </w:r>
            <w:r>
              <w:rPr>
                <w:rFonts w:hint="eastAsia" w:ascii="宋体" w:hAnsi="宋体" w:cs="宋体"/>
                <w:snapToGrid w:val="0"/>
                <w:kern w:val="0"/>
                <w:sz w:val="24"/>
                <w:lang w:eastAsia="zh-CN"/>
              </w:rPr>
              <w:t>的要求执行</w:t>
            </w:r>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6</w:t>
            </w:r>
          </w:p>
        </w:tc>
        <w:tc>
          <w:tcPr>
            <w:tcW w:w="3217" w:type="dxa"/>
            <w:vAlign w:val="center"/>
          </w:tcPr>
          <w:p>
            <w:pPr>
              <w:rPr>
                <w:rFonts w:ascii="宋体" w:hAnsi="宋体" w:cs="宋体"/>
                <w:b/>
                <w:sz w:val="24"/>
              </w:rPr>
            </w:pPr>
            <w:r>
              <w:rPr>
                <w:rFonts w:hint="eastAsia" w:ascii="宋体" w:hAnsi="宋体" w:cs="宋体"/>
                <w:sz w:val="24"/>
              </w:rPr>
              <w:t>误期赔偿费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napToGrid w:val="0"/>
                <w:kern w:val="0"/>
                <w:sz w:val="24"/>
              </w:rPr>
              <w:t>5000元/天</w:t>
            </w:r>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7</w:t>
            </w:r>
          </w:p>
        </w:tc>
        <w:tc>
          <w:tcPr>
            <w:tcW w:w="3217" w:type="dxa"/>
            <w:vAlign w:val="center"/>
          </w:tcPr>
          <w:p>
            <w:pPr>
              <w:rPr>
                <w:rFonts w:ascii="宋体" w:hAnsi="宋体" w:cs="宋体"/>
                <w:b/>
                <w:sz w:val="24"/>
              </w:rPr>
            </w:pPr>
            <w:r>
              <w:rPr>
                <w:rFonts w:hint="eastAsia" w:ascii="宋体" w:hAnsi="宋体" w:cs="宋体"/>
                <w:sz w:val="24"/>
              </w:rPr>
              <w:t>误期赔偿费最高限额</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z w:val="24"/>
              </w:rPr>
              <w:t>/</w:t>
            </w:r>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8</w:t>
            </w:r>
          </w:p>
        </w:tc>
        <w:tc>
          <w:tcPr>
            <w:tcW w:w="3217" w:type="dxa"/>
            <w:vAlign w:val="center"/>
          </w:tcPr>
          <w:p>
            <w:pPr>
              <w:rPr>
                <w:rFonts w:ascii="宋体" w:hAnsi="宋体" w:cs="宋体"/>
                <w:b/>
                <w:sz w:val="24"/>
              </w:rPr>
            </w:pPr>
            <w:r>
              <w:rPr>
                <w:rFonts w:hint="eastAsia" w:ascii="宋体" w:hAnsi="宋体" w:cs="宋体"/>
                <w:sz w:val="24"/>
              </w:rPr>
              <w:t>质量保证金扣留百分比</w:t>
            </w:r>
          </w:p>
        </w:tc>
        <w:tc>
          <w:tcPr>
            <w:tcW w:w="2700" w:type="dxa"/>
            <w:tcBorders>
              <w:right w:val="single" w:color="auto" w:sz="4" w:space="0"/>
            </w:tcBorders>
            <w:vAlign w:val="center"/>
          </w:tcPr>
          <w:p>
            <w:pPr>
              <w:jc w:val="center"/>
              <w:rPr>
                <w:rFonts w:ascii="宋体" w:hAnsi="宋体" w:cs="宋体"/>
                <w:sz w:val="24"/>
              </w:rPr>
            </w:pPr>
            <w:r>
              <w:rPr>
                <w:rFonts w:hint="eastAsia" w:ascii="宋体" w:hAnsi="宋体" w:cs="宋体"/>
                <w:sz w:val="24"/>
              </w:rPr>
              <w:t>合同价款的</w:t>
            </w:r>
            <w:r>
              <w:rPr>
                <w:rFonts w:hint="eastAsia" w:ascii="宋体" w:hAnsi="宋体" w:cs="宋体"/>
                <w:sz w:val="24"/>
                <w:u w:val="single"/>
              </w:rPr>
              <w:t>3</w:t>
            </w:r>
            <w:r>
              <w:rPr>
                <w:rFonts w:hint="eastAsia" w:ascii="宋体" w:hAnsi="宋体" w:cs="宋体"/>
                <w:sz w:val="24"/>
              </w:rPr>
              <w:t>%</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8" w:hRule="atLeast"/>
          <w:jc w:val="center"/>
        </w:trPr>
        <w:tc>
          <w:tcPr>
            <w:tcW w:w="851" w:type="dxa"/>
            <w:vAlign w:val="center"/>
          </w:tcPr>
          <w:p>
            <w:pPr>
              <w:jc w:val="center"/>
              <w:rPr>
                <w:rFonts w:ascii="宋体" w:hAnsi="宋体" w:cs="宋体"/>
                <w:sz w:val="24"/>
              </w:rPr>
            </w:pPr>
            <w:r>
              <w:rPr>
                <w:rFonts w:hint="eastAsia" w:ascii="宋体" w:hAnsi="宋体" w:cs="宋体"/>
                <w:sz w:val="24"/>
              </w:rPr>
              <w:t>10</w:t>
            </w:r>
          </w:p>
        </w:tc>
        <w:tc>
          <w:tcPr>
            <w:tcW w:w="3217" w:type="dxa"/>
            <w:vAlign w:val="center"/>
          </w:tcPr>
          <w:p>
            <w:pPr>
              <w:rPr>
                <w:rFonts w:ascii="宋体" w:hAnsi="宋体" w:cs="宋体"/>
                <w:sz w:val="24"/>
              </w:rPr>
            </w:pPr>
            <w:r>
              <w:rPr>
                <w:rFonts w:hint="eastAsia" w:ascii="宋体" w:hAnsi="宋体" w:cs="宋体"/>
                <w:sz w:val="24"/>
              </w:rPr>
              <w:t>合同专用条款的其他内容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z w:val="24"/>
              </w:rPr>
              <w:t>按招标文件要求执行</w:t>
            </w:r>
          </w:p>
        </w:tc>
        <w:tc>
          <w:tcPr>
            <w:tcW w:w="1354" w:type="dxa"/>
            <w:tcBorders>
              <w:left w:val="single" w:color="auto" w:sz="4" w:space="0"/>
            </w:tcBorders>
            <w:vAlign w:val="center"/>
          </w:tcPr>
          <w:p>
            <w:pPr>
              <w:rPr>
                <w:rFonts w:ascii="宋体" w:hAnsi="宋体" w:cs="宋体"/>
                <w:b/>
                <w:sz w:val="24"/>
              </w:rPr>
            </w:pPr>
          </w:p>
        </w:tc>
      </w:tr>
    </w:tbl>
    <w:p>
      <w:pPr>
        <w:spacing w:line="440" w:lineRule="exact"/>
        <w:ind w:firstLine="4080" w:firstLineChars="1700"/>
        <w:rPr>
          <w:rFonts w:ascii="宋体" w:hAnsi="宋体" w:cs="宋体"/>
          <w:sz w:val="24"/>
        </w:rPr>
      </w:pPr>
    </w:p>
    <w:p>
      <w:pPr>
        <w:spacing w:line="440" w:lineRule="exact"/>
        <w:rPr>
          <w:rFonts w:ascii="宋体" w:hAnsi="宋体" w:cs="宋体"/>
          <w:sz w:val="24"/>
        </w:rPr>
      </w:pPr>
      <w:r>
        <w:rPr>
          <w:rFonts w:hint="eastAsia" w:ascii="宋体" w:hAnsi="宋体" w:cs="宋体"/>
          <w:sz w:val="24"/>
        </w:rPr>
        <w:t>投 标 人：（盖单位章）</w:t>
      </w:r>
    </w:p>
    <w:p>
      <w:pPr>
        <w:spacing w:line="440" w:lineRule="exact"/>
        <w:rPr>
          <w:rFonts w:ascii="宋体" w:hAnsi="宋体" w:cs="宋体"/>
          <w:sz w:val="24"/>
        </w:rPr>
      </w:pPr>
      <w:r>
        <w:rPr>
          <w:rFonts w:hint="eastAsia" w:ascii="宋体" w:hAnsi="宋体" w:cs="宋体"/>
          <w:sz w:val="24"/>
        </w:rPr>
        <w:t>法定代表人或授权委托人：（</w:t>
      </w:r>
      <w:r>
        <w:rPr>
          <w:rFonts w:hint="eastAsia" w:ascii="宋体" w:hAnsi="宋体"/>
          <w:kern w:val="0"/>
          <w:sz w:val="24"/>
          <w:szCs w:val="20"/>
        </w:rPr>
        <w:t>签字或</w:t>
      </w:r>
      <w:r>
        <w:rPr>
          <w:rFonts w:hint="eastAsia" w:ascii="宋体" w:hAnsi="宋体" w:cs="宋体"/>
          <w:kern w:val="0"/>
          <w:sz w:val="24"/>
        </w:rPr>
        <w:t>盖章</w:t>
      </w:r>
      <w:r>
        <w:rPr>
          <w:rFonts w:hint="eastAsia" w:ascii="宋体" w:hAnsi="宋体" w:cs="宋体"/>
          <w:sz w:val="24"/>
        </w:rPr>
        <w:t>）</w:t>
      </w:r>
    </w:p>
    <w:p>
      <w:pPr>
        <w:spacing w:line="440" w:lineRule="exact"/>
        <w:ind w:firstLine="4080" w:firstLineChars="1700"/>
        <w:rPr>
          <w:rFonts w:ascii="宋体" w:hAnsi="宋体" w:cs="宋体"/>
          <w:sz w:val="24"/>
        </w:rPr>
      </w:pPr>
      <w:r>
        <w:rPr>
          <w:rFonts w:hint="eastAsia" w:ascii="宋体" w:hAnsi="宋体" w:cs="宋体"/>
          <w:sz w:val="24"/>
        </w:rPr>
        <w:t>日    期：年月日</w:t>
      </w:r>
    </w:p>
    <w:p>
      <w:pPr>
        <w:pStyle w:val="3"/>
        <w:rPr>
          <w:rFonts w:ascii="宋体" w:hAnsi="宋体" w:eastAsia="宋体" w:cs="TimesNewRomanPSMT"/>
          <w:kern w:val="0"/>
          <w:sz w:val="24"/>
          <w:szCs w:val="24"/>
        </w:rPr>
      </w:pPr>
      <w:r>
        <w:rPr>
          <w:rFonts w:ascii="宋体" w:hAnsi="宋体"/>
          <w:sz w:val="24"/>
          <w:szCs w:val="20"/>
        </w:rPr>
        <w:br w:type="page"/>
      </w:r>
      <w:bookmarkStart w:id="165" w:name="_Toc430795461"/>
      <w:bookmarkStart w:id="166" w:name="_Toc393750135"/>
      <w:r>
        <w:rPr>
          <w:rFonts w:hint="eastAsia" w:ascii="宋体" w:hAnsi="宋体" w:eastAsia="宋体" w:cs="TimesNewRomanPSMT"/>
          <w:kern w:val="0"/>
          <w:sz w:val="24"/>
          <w:szCs w:val="24"/>
        </w:rPr>
        <w:t>三、法定代表人证明书、授权委托书</w:t>
      </w:r>
      <w:bookmarkEnd w:id="165"/>
      <w:bookmarkEnd w:id="166"/>
    </w:p>
    <w:p>
      <w:pPr>
        <w:spacing w:line="360" w:lineRule="auto"/>
        <w:jc w:val="center"/>
        <w:rPr>
          <w:rFonts w:ascii="宋体" w:hAnsi="宋体" w:cs="TimesNewRomanPSMT"/>
          <w:b/>
          <w:kern w:val="0"/>
          <w:sz w:val="24"/>
        </w:rPr>
      </w:pPr>
      <w:r>
        <w:rPr>
          <w:rFonts w:hint="eastAsia" w:ascii="宋体" w:hAnsi="宋体"/>
          <w:b/>
          <w:kern w:val="0"/>
          <w:sz w:val="24"/>
          <w:szCs w:val="20"/>
        </w:rPr>
        <w:t>法定代表人身份证明</w:t>
      </w:r>
    </w:p>
    <w:p>
      <w:pPr>
        <w:jc w:val="center"/>
        <w:rPr>
          <w:rFonts w:ascii="宋体" w:hAnsi="宋体" w:cs="TimesNewRomanPSMT"/>
          <w:b/>
          <w:kern w:val="0"/>
          <w:sz w:val="24"/>
        </w:rPr>
      </w:pPr>
    </w:p>
    <w:p>
      <w:pPr>
        <w:autoSpaceDE w:val="0"/>
        <w:autoSpaceDN w:val="0"/>
        <w:adjustRightInd w:val="0"/>
        <w:spacing w:line="360" w:lineRule="auto"/>
        <w:ind w:firstLine="480" w:firstLineChars="200"/>
        <w:jc w:val="left"/>
        <w:rPr>
          <w:rFonts w:ascii="宋体" w:hAnsi="宋体" w:cs="仿宋_GB2312"/>
          <w:kern w:val="0"/>
          <w:sz w:val="24"/>
          <w:u w:val="single"/>
        </w:rPr>
      </w:pPr>
      <w:r>
        <w:rPr>
          <w:rFonts w:hint="eastAsia" w:ascii="宋体" w:hAnsi="宋体" w:cs="仿宋_GB2312"/>
          <w:kern w:val="0"/>
          <w:sz w:val="24"/>
        </w:rPr>
        <w:t>投标人名称：</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单位性质：</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地址：</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成立时间：年月日</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经营期限：</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姓名：性别：年龄：职务：</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系（投标人名称）的法定代表人。</w:t>
      </w: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kern w:val="0"/>
          <w:sz w:val="24"/>
          <w:szCs w:val="20"/>
        </w:rPr>
      </w:pP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特此证明。</w:t>
      </w:r>
    </w:p>
    <w:p>
      <w:pPr>
        <w:autoSpaceDE w:val="0"/>
        <w:autoSpaceDN w:val="0"/>
        <w:adjustRightInd w:val="0"/>
        <w:spacing w:line="360" w:lineRule="auto"/>
        <w:ind w:firstLine="480" w:firstLineChars="200"/>
        <w:jc w:val="left"/>
        <w:rPr>
          <w:rFonts w:ascii="宋体" w:hAnsi="宋体"/>
          <w:kern w:val="0"/>
          <w:sz w:val="24"/>
          <w:szCs w:val="20"/>
        </w:rPr>
      </w:pP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wordWrap w:val="0"/>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 xml:space="preserve">投标人：（盖单位章） </w:t>
      </w: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年月日</w:t>
      </w: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附法定代表人身份证复印件。</w:t>
      </w: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r>
        <w:rPr>
          <w:rFonts w:ascii="宋体" w:hAnsi="宋体" w:cs="TimesNewRomanPSMT"/>
          <w:kern w:val="0"/>
          <w:sz w:val="24"/>
        </w:rPr>
        <w:br w:type="page"/>
      </w:r>
    </w:p>
    <w:p>
      <w:pPr>
        <w:spacing w:line="360" w:lineRule="auto"/>
        <w:jc w:val="center"/>
        <w:rPr>
          <w:rFonts w:ascii="宋体" w:hAnsi="宋体" w:cs="TimesNewRomanPSMT"/>
          <w:b/>
          <w:kern w:val="0"/>
          <w:sz w:val="24"/>
        </w:rPr>
      </w:pPr>
      <w:r>
        <w:rPr>
          <w:rFonts w:hint="eastAsia" w:ascii="宋体" w:hAnsi="宋体" w:cs="TimesNewRomanPSMT"/>
          <w:b/>
          <w:kern w:val="0"/>
          <w:sz w:val="24"/>
        </w:rPr>
        <w:t>授权委托书</w:t>
      </w:r>
    </w:p>
    <w:p>
      <w:pPr>
        <w:spacing w:line="360" w:lineRule="auto"/>
        <w:jc w:val="center"/>
        <w:rPr>
          <w:rFonts w:ascii="宋体" w:hAnsi="宋体"/>
          <w:b/>
          <w:kern w:val="0"/>
          <w:sz w:val="24"/>
          <w:szCs w:val="20"/>
        </w:rPr>
      </w:pP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本人（姓名）系（投标人名称）的法定代表人，现委托</w:t>
      </w:r>
      <w:r>
        <w:rPr>
          <w:rFonts w:hint="eastAsia" w:ascii="宋体" w:hAnsi="宋体" w:cs="仿宋_GB2312"/>
          <w:kern w:val="0"/>
          <w:sz w:val="24"/>
        </w:rPr>
        <w:t>（姓名）为我方代理人。</w:t>
      </w:r>
      <w:r>
        <w:rPr>
          <w:rFonts w:hint="eastAsia" w:ascii="宋体" w:hAnsi="宋体"/>
          <w:sz w:val="24"/>
        </w:rPr>
        <w:t>该代理人为我单位参加（项目名称）投标的直接责任人，</w:t>
      </w:r>
      <w:r>
        <w:rPr>
          <w:rFonts w:hint="eastAsia" w:ascii="宋体" w:hAnsi="宋体" w:cs="仿宋_GB2312"/>
          <w:kern w:val="0"/>
          <w:sz w:val="24"/>
        </w:rPr>
        <w:t>代理人根据授权，以我方名义签署、澄清、说明、补正、递交、撤回、修改（项目名称）施工投标文件、签订合同和处理有关事宜，其法律后果由我方承担。</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委托期限：</w:t>
      </w:r>
      <w:r>
        <w:rPr>
          <w:rFonts w:hint="eastAsia" w:ascii="宋体" w:hAnsi="宋体" w:cs="TimesNewRomanPSMT"/>
          <w:kern w:val="0"/>
          <w:sz w:val="24"/>
          <w:u w:val="single"/>
        </w:rPr>
        <w:t>投标文件截止之日起 90 天</w:t>
      </w:r>
      <w:r>
        <w:rPr>
          <w:rFonts w:hint="eastAsia" w:ascii="宋体" w:hAnsi="宋体" w:cs="仿宋_GB2312"/>
          <w:kern w:val="0"/>
          <w:sz w:val="24"/>
        </w:rPr>
        <w:t>。</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代理人无转委托权。</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附：授权代理人身份证复印件</w:t>
      </w: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cs="仿宋_GB2312"/>
          <w:kern w:val="0"/>
          <w:sz w:val="24"/>
        </w:rPr>
        <w:t xml:space="preserve">投标人：（盖单位章）           </w:t>
      </w:r>
    </w:p>
    <w:p>
      <w:pPr>
        <w:wordWrap w:val="0"/>
        <w:autoSpaceDE w:val="0"/>
        <w:autoSpaceDN w:val="0"/>
        <w:adjustRightInd w:val="0"/>
        <w:spacing w:line="360" w:lineRule="auto"/>
        <w:ind w:right="360" w:firstLine="480" w:firstLineChars="200"/>
        <w:jc w:val="right"/>
        <w:rPr>
          <w:rFonts w:ascii="宋体" w:hAnsi="宋体" w:cs="仿宋_GB2312"/>
          <w:kern w:val="0"/>
          <w:sz w:val="24"/>
        </w:rPr>
      </w:pPr>
      <w:r>
        <w:rPr>
          <w:rFonts w:hint="eastAsia" w:ascii="宋体" w:hAnsi="宋体" w:cs="仿宋_GB2312"/>
          <w:kern w:val="0"/>
          <w:sz w:val="24"/>
        </w:rPr>
        <w:t xml:space="preserve">法定代表人：（签字或盖章）           </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kern w:val="0"/>
          <w:sz w:val="24"/>
          <w:szCs w:val="20"/>
        </w:rPr>
        <w:t>身份证号码：</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cs="仿宋_GB2312"/>
          <w:kern w:val="0"/>
          <w:sz w:val="24"/>
        </w:rPr>
        <w:t xml:space="preserve">委托代理人：（签字）           </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kern w:val="0"/>
          <w:sz w:val="24"/>
          <w:szCs w:val="20"/>
        </w:rPr>
        <w:t>身份证号码：</w:t>
      </w:r>
    </w:p>
    <w:p>
      <w:pPr>
        <w:autoSpaceDE w:val="0"/>
        <w:autoSpaceDN w:val="0"/>
        <w:adjustRightInd w:val="0"/>
        <w:spacing w:line="360" w:lineRule="auto"/>
        <w:ind w:right="480" w:firstLine="4420" w:firstLineChars="1842"/>
        <w:rPr>
          <w:rFonts w:ascii="宋体" w:hAnsi="宋体" w:cs="仿宋_GB2312"/>
          <w:kern w:val="0"/>
          <w:sz w:val="24"/>
        </w:rPr>
      </w:pPr>
      <w:r>
        <w:rPr>
          <w:rFonts w:hint="eastAsia" w:ascii="宋体" w:hAnsi="宋体" w:cs="仿宋_GB2312"/>
          <w:kern w:val="0"/>
          <w:sz w:val="24"/>
        </w:rPr>
        <w:t>代理人联系电话（手机）：</w:t>
      </w:r>
    </w:p>
    <w:p>
      <w:pPr>
        <w:autoSpaceDE w:val="0"/>
        <w:autoSpaceDN w:val="0"/>
        <w:adjustRightInd w:val="0"/>
        <w:spacing w:line="360" w:lineRule="auto"/>
        <w:ind w:right="480" w:firstLine="4560" w:firstLineChars="1900"/>
        <w:rPr>
          <w:rFonts w:ascii="宋体" w:hAnsi="宋体" w:cs="仿宋_GB2312"/>
          <w:kern w:val="0"/>
          <w:sz w:val="24"/>
        </w:rPr>
      </w:pPr>
    </w:p>
    <w:p>
      <w:pPr>
        <w:wordWrap w:val="0"/>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 xml:space="preserve">年月日   </w:t>
      </w: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r>
        <w:rPr>
          <w:rFonts w:ascii="宋体" w:hAnsi="宋体" w:cs="仿宋_GB2312"/>
          <w:kern w:val="0"/>
          <w:sz w:val="24"/>
        </w:rPr>
        <w:br w:type="page"/>
      </w:r>
    </w:p>
    <w:p>
      <w:pPr>
        <w:pStyle w:val="3"/>
        <w:rPr>
          <w:rFonts w:ascii="宋体" w:hAnsi="宋体" w:eastAsia="宋体" w:cs="TimesNewRomanPSMT"/>
          <w:kern w:val="0"/>
          <w:sz w:val="24"/>
          <w:szCs w:val="24"/>
        </w:rPr>
      </w:pPr>
      <w:bookmarkStart w:id="167" w:name="_Toc393750136"/>
      <w:bookmarkStart w:id="168" w:name="_Toc430795462"/>
      <w:r>
        <w:rPr>
          <w:rFonts w:hint="eastAsia" w:ascii="宋体" w:hAnsi="宋体" w:eastAsia="宋体" w:cs="TimesNewRomanPSMT"/>
          <w:kern w:val="0"/>
          <w:sz w:val="24"/>
          <w:szCs w:val="24"/>
        </w:rPr>
        <w:t>四、技术标汇总表</w:t>
      </w:r>
      <w:bookmarkEnd w:id="167"/>
      <w:bookmarkEnd w:id="168"/>
    </w:p>
    <w:tbl>
      <w:tblPr>
        <w:tblStyle w:val="92"/>
        <w:tblW w:w="906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955"/>
        <w:gridCol w:w="1260"/>
        <w:gridCol w:w="16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招标单位</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项目名称</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投标单位</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资质等级</w:t>
            </w:r>
          </w:p>
        </w:tc>
        <w:tc>
          <w:tcPr>
            <w:tcW w:w="421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6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pacing w:val="-20"/>
                <w:sz w:val="24"/>
              </w:rPr>
              <w:t>证书号</w:t>
            </w:r>
          </w:p>
        </w:tc>
        <w:tc>
          <w:tcPr>
            <w:tcW w:w="1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法定代表人</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受委托人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项目负责人</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项目负责人证书号</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质量目标</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承诺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工期目标</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工期延误承诺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9" w:hRule="atLeast"/>
        </w:trPr>
        <w:tc>
          <w:tcPr>
            <w:tcW w:w="4740" w:type="dxa"/>
            <w:gridSpan w:val="2"/>
            <w:tcBorders>
              <w:top w:val="nil"/>
              <w:left w:val="single" w:color="auto" w:sz="4" w:space="0"/>
              <w:bottom w:val="nil"/>
              <w:right w:val="nil"/>
            </w:tcBorders>
          </w:tcPr>
          <w:p>
            <w:pPr>
              <w:spacing w:line="400" w:lineRule="exact"/>
              <w:rPr>
                <w:sz w:val="24"/>
              </w:rPr>
            </w:pPr>
            <w:r>
              <w:rPr>
                <w:rFonts w:hint="eastAsia"/>
                <w:sz w:val="24"/>
              </w:rPr>
              <w:t>投标单位：（盖章）</w:t>
            </w:r>
          </w:p>
        </w:tc>
        <w:tc>
          <w:tcPr>
            <w:tcW w:w="4320" w:type="dxa"/>
            <w:gridSpan w:val="3"/>
            <w:tcBorders>
              <w:top w:val="nil"/>
              <w:left w:val="nil"/>
              <w:bottom w:val="nil"/>
              <w:right w:val="single" w:color="auto" w:sz="4" w:space="0"/>
            </w:tcBorders>
          </w:tcPr>
          <w:p>
            <w:pPr>
              <w:spacing w:line="400" w:lineRule="exact"/>
              <w:rPr>
                <w:sz w:val="24"/>
              </w:rPr>
            </w:pPr>
            <w:r>
              <w:rPr>
                <w:rFonts w:hint="eastAsia"/>
                <w:sz w:val="24"/>
              </w:rPr>
              <w:t>法定代表人或获授权代表：（签字或盖章）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2" w:hRule="atLeast"/>
        </w:trPr>
        <w:tc>
          <w:tcPr>
            <w:tcW w:w="4740" w:type="dxa"/>
            <w:gridSpan w:val="2"/>
            <w:tcBorders>
              <w:top w:val="nil"/>
              <w:left w:val="single" w:color="auto" w:sz="4" w:space="0"/>
              <w:bottom w:val="single" w:color="auto" w:sz="4" w:space="0"/>
              <w:right w:val="nil"/>
            </w:tcBorders>
          </w:tcPr>
          <w:p>
            <w:pPr>
              <w:spacing w:line="400" w:lineRule="exact"/>
              <w:rPr>
                <w:sz w:val="24"/>
              </w:rPr>
            </w:pPr>
            <w:r>
              <w:rPr>
                <w:rFonts w:hint="eastAsia"/>
                <w:sz w:val="24"/>
              </w:rPr>
              <w:t>经办人：</w:t>
            </w:r>
          </w:p>
        </w:tc>
        <w:tc>
          <w:tcPr>
            <w:tcW w:w="4320" w:type="dxa"/>
            <w:gridSpan w:val="3"/>
            <w:tcBorders>
              <w:top w:val="nil"/>
              <w:left w:val="nil"/>
              <w:bottom w:val="single" w:color="auto" w:sz="4" w:space="0"/>
              <w:right w:val="single" w:color="auto" w:sz="4" w:space="0"/>
            </w:tcBorders>
          </w:tcPr>
          <w:p>
            <w:pPr>
              <w:spacing w:line="400" w:lineRule="exact"/>
              <w:rPr>
                <w:sz w:val="24"/>
              </w:rPr>
            </w:pPr>
            <w:r>
              <w:rPr>
                <w:rFonts w:hint="eastAsia"/>
                <w:sz w:val="24"/>
              </w:rPr>
              <w:t>联系电话：</w:t>
            </w:r>
          </w:p>
        </w:tc>
      </w:tr>
    </w:tbl>
    <w:p>
      <w:pPr>
        <w:rPr>
          <w:rFonts w:ascii="Arial" w:hAnsi="Arial" w:eastAsia="黑体"/>
          <w:sz w:val="30"/>
          <w:szCs w:val="32"/>
        </w:rPr>
      </w:pPr>
      <w:r>
        <w:rPr>
          <w:rFonts w:hint="eastAsia"/>
          <w:sz w:val="24"/>
        </w:rPr>
        <w:t>注：如页面不够，可另页补充。填写的内容必须真实，如发现虚假填报，全部责任及后果由投标单位承担。</w:t>
      </w:r>
    </w:p>
    <w:p/>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r>
        <w:rPr>
          <w:rFonts w:ascii="宋体" w:hAnsi="宋体" w:cs="TimesNewRomanPSMT"/>
          <w:kern w:val="0"/>
          <w:sz w:val="24"/>
        </w:rPr>
        <w:br w:type="page"/>
      </w:r>
    </w:p>
    <w:p>
      <w:pPr>
        <w:rPr>
          <w:rFonts w:ascii="宋体" w:hAnsi="宋体"/>
          <w:b/>
          <w:sz w:val="24"/>
          <w:szCs w:val="20"/>
        </w:rPr>
      </w:pPr>
      <w:r>
        <w:rPr>
          <w:rFonts w:hint="eastAsia" w:ascii="宋体" w:hAnsi="宋体"/>
          <w:b/>
          <w:sz w:val="24"/>
        </w:rPr>
        <w:t>五</w:t>
      </w:r>
      <w:r>
        <w:rPr>
          <w:rFonts w:hint="eastAsia" w:ascii="宋体" w:hAnsi="宋体"/>
          <w:b/>
          <w:sz w:val="24"/>
          <w:szCs w:val="20"/>
        </w:rPr>
        <w:t>、履约承诺书</w:t>
      </w:r>
    </w:p>
    <w:p>
      <w:pPr>
        <w:widowControl/>
        <w:autoSpaceDE w:val="0"/>
        <w:autoSpaceDN w:val="0"/>
        <w:snapToGrid w:val="0"/>
        <w:spacing w:line="400" w:lineRule="exact"/>
        <w:textAlignment w:val="bottom"/>
        <w:rPr>
          <w:rFonts w:ascii="宋体" w:hAnsi="宋体" w:cs="宋体"/>
          <w:sz w:val="24"/>
        </w:rPr>
      </w:pPr>
    </w:p>
    <w:p>
      <w:pPr>
        <w:widowControl/>
        <w:autoSpaceDE w:val="0"/>
        <w:autoSpaceDN w:val="0"/>
        <w:snapToGrid w:val="0"/>
        <w:spacing w:line="400" w:lineRule="exact"/>
        <w:textAlignment w:val="bottom"/>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招标人名称           </w:t>
      </w:r>
    </w:p>
    <w:p>
      <w:pPr>
        <w:widowControl/>
        <w:autoSpaceDE w:val="0"/>
        <w:autoSpaceDN w:val="0"/>
        <w:snapToGrid w:val="0"/>
        <w:spacing w:line="400" w:lineRule="exact"/>
        <w:ind w:firstLine="499" w:firstLineChars="208"/>
        <w:textAlignment w:val="bottom"/>
        <w:rPr>
          <w:rFonts w:ascii="宋体" w:hAnsi="宋体" w:cs="宋体"/>
          <w:sz w:val="24"/>
        </w:rPr>
      </w:pPr>
      <w:r>
        <w:rPr>
          <w:rFonts w:hint="eastAsia" w:ascii="宋体" w:hAnsi="宋体" w:cs="宋体"/>
          <w:sz w:val="24"/>
        </w:rPr>
        <w:t>我单位在工程施工招标活动中，如有幸中标，在此郑重承诺：</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1、我公司将严格按照在投标文件中填报的人员数量和资历，在收到中标通知书后立即报送符合要求的相关资料报招标人核查，经核查符合要求后立即组织进场完成本项工程，并根据工程的实际需要增派相关人员。</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2、我公司将严格按照在投标文件中填报的施工机械及试验设备在收到中标通知书后立即组织进场，同时承诺，根据工程的实际需要增加设备。</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3、我公司承诺并完全接受业主对本项目工程款项的监管。</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4、我公司承诺，在工程的实施过程中，我们完全响应招标文件的所有条款，履行合同义务。质量检验标准绝不低于招标文件或国家及广东省、佛山市地方强制性标准要求。</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5、我们完全响应和遵守招标文件及合同中规定的工程验收、计量、支付办法。</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6、我公司承诺，在工程施工过程中，一定遵照投标文件中承诺的施工组织设计，精心设计、精心施工，确保工程质量、安全生产满足相关规定和要求，并保护环境，按业主要求的工期完工。</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7、我公司承诺，在工程实施过程中，及时、足额发放所有的民工工资及相关费用。否则业主有权动用全部或部分民工工资保证金用以发放民工工资及相关费用。</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8、我公司承诺，在工程实施过程中，严格按照有关的规定做好各项安全保障措施。否则业主有权为确保安全生产而动用部分或全部安全生产费另行委托其它单位实施安全保障措施。</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9、我公司承诺，在工程实施过程中，严格按照有关的规定做好施工现场与周边的临时交通维护与疏导措施。</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10、我公司承诺，在工程实施过程中，严格按照设计图纸及相关规范组织施工，并加强施工组织管理。如发生重大安全生产事故或重大工程质量事故，我方无条件承担全部法律责任。</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若我公司在工程实施过程中违背上述承诺，则招标人有权取消我公司中标的资格或解除施工合同，并有权对我公司处以经济处罚。</w:t>
      </w:r>
    </w:p>
    <w:p>
      <w:pPr>
        <w:widowControl/>
        <w:autoSpaceDE w:val="0"/>
        <w:autoSpaceDN w:val="0"/>
        <w:snapToGrid w:val="0"/>
        <w:spacing w:line="400" w:lineRule="exact"/>
        <w:ind w:firstLine="480" w:firstLineChars="200"/>
        <w:textAlignment w:val="bottom"/>
        <w:rPr>
          <w:rFonts w:ascii="宋体" w:hAnsi="宋体" w:cs="宋体"/>
          <w:sz w:val="24"/>
        </w:rPr>
      </w:pPr>
    </w:p>
    <w:p>
      <w:pPr>
        <w:snapToGrid w:val="0"/>
        <w:spacing w:line="400" w:lineRule="exact"/>
        <w:ind w:firstLine="4500" w:firstLineChars="1875"/>
        <w:rPr>
          <w:rFonts w:ascii="宋体" w:hAnsi="宋体" w:cs="宋体"/>
          <w:sz w:val="24"/>
        </w:rPr>
      </w:pPr>
      <w:r>
        <w:rPr>
          <w:rFonts w:hint="eastAsia" w:ascii="宋体" w:hAnsi="宋体" w:cs="宋体"/>
          <w:sz w:val="24"/>
        </w:rPr>
        <w:t>投标单位名称：（盖章）</w:t>
      </w:r>
    </w:p>
    <w:p>
      <w:pPr>
        <w:snapToGrid w:val="0"/>
        <w:spacing w:line="400" w:lineRule="exact"/>
        <w:ind w:firstLine="4500" w:firstLineChars="1875"/>
        <w:rPr>
          <w:rFonts w:ascii="宋体" w:hAnsi="宋体" w:cs="宋体"/>
          <w:sz w:val="24"/>
        </w:rPr>
      </w:pPr>
      <w:r>
        <w:rPr>
          <w:rFonts w:hint="eastAsia" w:ascii="宋体" w:hAnsi="宋体" w:cs="宋体"/>
          <w:sz w:val="24"/>
        </w:rPr>
        <w:t>法定代表人或其授权签字人：（</w:t>
      </w:r>
      <w:r>
        <w:rPr>
          <w:rFonts w:hint="eastAsia" w:ascii="宋体" w:hAnsi="宋体" w:cs="宋体"/>
          <w:kern w:val="0"/>
          <w:sz w:val="24"/>
        </w:rPr>
        <w:t>签字</w:t>
      </w:r>
      <w:r>
        <w:rPr>
          <w:rFonts w:hint="eastAsia" w:ascii="宋体" w:hAnsi="宋体"/>
          <w:kern w:val="0"/>
          <w:sz w:val="24"/>
          <w:szCs w:val="20"/>
        </w:rPr>
        <w:t>或</w:t>
      </w:r>
      <w:r>
        <w:rPr>
          <w:rFonts w:hint="eastAsia" w:ascii="宋体" w:hAnsi="宋体" w:cs="宋体"/>
          <w:kern w:val="0"/>
          <w:sz w:val="24"/>
        </w:rPr>
        <w:t>盖章</w:t>
      </w:r>
      <w:r>
        <w:rPr>
          <w:rFonts w:hint="eastAsia" w:ascii="宋体" w:hAnsi="宋体" w:cs="宋体"/>
          <w:sz w:val="24"/>
        </w:rPr>
        <w:t>）</w:t>
      </w:r>
    </w:p>
    <w:p>
      <w:pPr>
        <w:ind w:left="2760"/>
        <w:jc w:val="right"/>
        <w:rPr>
          <w:rFonts w:ascii="宋体" w:hAnsi="宋体"/>
          <w:kern w:val="0"/>
          <w:sz w:val="24"/>
          <w:szCs w:val="20"/>
        </w:rPr>
      </w:pPr>
      <w:bookmarkStart w:id="169" w:name="_Toc430525936"/>
      <w:bookmarkStart w:id="170" w:name="_Toc437612641"/>
      <w:r>
        <w:rPr>
          <w:rFonts w:hint="eastAsia" w:ascii="Tahoma" w:hAnsi="Tahoma"/>
          <w:sz w:val="24"/>
          <w:szCs w:val="20"/>
        </w:rPr>
        <w:t>年月日</w:t>
      </w:r>
      <w:bookmarkEnd w:id="169"/>
      <w:bookmarkEnd w:id="170"/>
      <w:r>
        <w:rPr>
          <w:rFonts w:ascii="宋体" w:hAnsi="宋体" w:cs="TimesNewRomanPSMT"/>
          <w:kern w:val="0"/>
          <w:sz w:val="24"/>
        </w:rPr>
        <w:br w:type="page"/>
      </w:r>
    </w:p>
    <w:p>
      <w:pPr>
        <w:pStyle w:val="3"/>
        <w:rPr>
          <w:rFonts w:ascii="宋体" w:hAnsi="宋体" w:eastAsia="宋体" w:cs="TimesNewRomanPSMT"/>
          <w:kern w:val="0"/>
          <w:sz w:val="24"/>
          <w:szCs w:val="24"/>
        </w:rPr>
      </w:pPr>
      <w:bookmarkStart w:id="171" w:name="_Toc213725587"/>
      <w:bookmarkEnd w:id="171"/>
      <w:bookmarkStart w:id="172" w:name="_Toc274691344"/>
      <w:bookmarkEnd w:id="172"/>
      <w:bookmarkStart w:id="173" w:name="_Toc280259824"/>
      <w:bookmarkEnd w:id="173"/>
      <w:bookmarkStart w:id="174" w:name="_Toc306284273"/>
      <w:bookmarkEnd w:id="174"/>
      <w:bookmarkStart w:id="175" w:name="_Toc354672438"/>
      <w:bookmarkEnd w:id="175"/>
      <w:bookmarkStart w:id="176" w:name="_Toc430795463"/>
      <w:bookmarkStart w:id="177" w:name="_Toc393750137"/>
      <w:bookmarkStart w:id="178" w:name="_Toc144974881"/>
      <w:bookmarkStart w:id="179" w:name="_Toc152042602"/>
      <w:bookmarkStart w:id="180" w:name="_Toc152045813"/>
      <w:bookmarkStart w:id="181" w:name="_Toc280259834"/>
      <w:bookmarkStart w:id="182" w:name="_Toc306284283"/>
      <w:bookmarkStart w:id="183" w:name="_Toc354672445"/>
      <w:bookmarkStart w:id="184" w:name="_Toc202287572"/>
      <w:r>
        <w:rPr>
          <w:rFonts w:hint="eastAsia" w:ascii="宋体" w:hAnsi="宋体" w:eastAsia="宋体" w:cs="TimesNewRomanPSMT"/>
          <w:kern w:val="0"/>
          <w:sz w:val="24"/>
          <w:szCs w:val="24"/>
        </w:rPr>
        <w:t>六、投标人须知前附表规定的其他材料</w:t>
      </w:r>
      <w:bookmarkEnd w:id="176"/>
      <w:bookmarkEnd w:id="177"/>
    </w:p>
    <w:p>
      <w:pPr>
        <w:rPr>
          <w:sz w:val="24"/>
        </w:rPr>
      </w:pPr>
      <w:r>
        <w:rPr>
          <w:rFonts w:hint="eastAsia"/>
          <w:sz w:val="24"/>
        </w:rPr>
        <w:t>包括但不限于以下内容：</w:t>
      </w:r>
    </w:p>
    <w:p>
      <w:r>
        <w:rPr>
          <w:rFonts w:hint="eastAsia" w:ascii="宋体" w:hAnsi="宋体" w:cs="仿宋_GB2312"/>
          <w:kern w:val="0"/>
          <w:sz w:val="24"/>
        </w:rPr>
        <w:t>（一）、投标人基本情况表；</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（二）、项目管理机构表</w:t>
      </w:r>
    </w:p>
    <w:p>
      <w:pPr>
        <w:autoSpaceDE w:val="0"/>
        <w:autoSpaceDN w:val="0"/>
        <w:adjustRightInd w:val="0"/>
        <w:spacing w:line="360" w:lineRule="auto"/>
        <w:ind w:firstLine="960" w:firstLineChars="400"/>
        <w:jc w:val="left"/>
        <w:rPr>
          <w:rFonts w:ascii="宋体" w:hAnsi="宋体" w:cs="仿宋_GB2312"/>
          <w:kern w:val="0"/>
          <w:sz w:val="24"/>
        </w:rPr>
      </w:pPr>
      <w:r>
        <w:rPr>
          <w:rFonts w:hint="eastAsia" w:ascii="宋体" w:hAnsi="宋体" w:cs="仿宋_GB2312"/>
          <w:kern w:val="0"/>
          <w:sz w:val="24"/>
        </w:rPr>
        <w:t>项目管理机构表（1）—汇总表；</w:t>
      </w:r>
    </w:p>
    <w:p>
      <w:pPr>
        <w:autoSpaceDE w:val="0"/>
        <w:autoSpaceDN w:val="0"/>
        <w:adjustRightInd w:val="0"/>
        <w:spacing w:line="360" w:lineRule="auto"/>
        <w:ind w:firstLine="960" w:firstLineChars="400"/>
        <w:jc w:val="left"/>
        <w:rPr>
          <w:rFonts w:ascii="宋体" w:hAnsi="宋体" w:cs="仿宋_GB2312"/>
          <w:kern w:val="0"/>
          <w:sz w:val="24"/>
        </w:rPr>
      </w:pPr>
      <w:r>
        <w:rPr>
          <w:rFonts w:hint="eastAsia" w:ascii="宋体" w:hAnsi="宋体" w:cs="仿宋_GB2312"/>
          <w:kern w:val="0"/>
          <w:sz w:val="24"/>
        </w:rPr>
        <w:t>项目管理机构表（2）—主要人员简历表；</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(三)、近三年发生的诉讼及仲裁情况；</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(四)、企业信誉状况</w:t>
      </w:r>
    </w:p>
    <w:p>
      <w:pPr>
        <w:autoSpaceDE w:val="0"/>
        <w:autoSpaceDN w:val="0"/>
        <w:adjustRightInd w:val="0"/>
        <w:spacing w:line="360" w:lineRule="auto"/>
        <w:jc w:val="left"/>
        <w:rPr>
          <w:rFonts w:ascii="宋体" w:hAnsi="宋体"/>
          <w:b/>
          <w:kern w:val="0"/>
          <w:sz w:val="24"/>
          <w:szCs w:val="20"/>
        </w:rPr>
      </w:pPr>
      <w:r>
        <w:rPr>
          <w:rFonts w:hint="eastAsia" w:ascii="宋体" w:hAnsi="宋体" w:cs="仿宋_GB2312"/>
          <w:kern w:val="0"/>
          <w:sz w:val="24"/>
        </w:rPr>
        <w:t>(五)</w:t>
      </w:r>
      <w:r>
        <w:rPr>
          <w:rFonts w:hint="eastAsia" w:ascii="宋体" w:hAnsi="宋体"/>
          <w:kern w:val="0"/>
          <w:sz w:val="24"/>
          <w:szCs w:val="20"/>
        </w:rPr>
        <w:t>、其他材料</w:t>
      </w:r>
      <w:bookmarkEnd w:id="178"/>
      <w:bookmarkEnd w:id="179"/>
      <w:bookmarkEnd w:id="180"/>
      <w:bookmarkEnd w:id="181"/>
      <w:bookmarkEnd w:id="182"/>
      <w:bookmarkEnd w:id="183"/>
      <w:r>
        <w:rPr>
          <w:rFonts w:hint="eastAsia" w:ascii="宋体" w:hAnsi="宋体" w:cs="仿宋_GB2312"/>
          <w:kern w:val="0"/>
          <w:sz w:val="24"/>
        </w:rPr>
        <w:t>（如有）。</w:t>
      </w:r>
    </w:p>
    <w:p>
      <w:pPr>
        <w:wordWrap w:val="0"/>
        <w:autoSpaceDE w:val="0"/>
        <w:autoSpaceDN w:val="0"/>
        <w:adjustRightInd w:val="0"/>
        <w:spacing w:line="360" w:lineRule="auto"/>
        <w:ind w:firstLine="420" w:firstLineChars="200"/>
        <w:jc w:val="right"/>
        <w:rPr>
          <w:rFonts w:ascii="宋体" w:hAnsi="宋体" w:cs="仿宋_GB2312"/>
          <w:kern w:val="0"/>
          <w:sz w:val="24"/>
        </w:rPr>
      </w:pPr>
      <w:r>
        <w:br w:type="page"/>
      </w:r>
    </w:p>
    <w:bookmarkEnd w:id="184"/>
    <w:p>
      <w:pPr>
        <w:pStyle w:val="3"/>
        <w:spacing w:before="120" w:after="120" w:line="360" w:lineRule="auto"/>
        <w:rPr>
          <w:rFonts w:ascii="宋体" w:hAnsi="宋体" w:eastAsia="宋体" w:cs="TimesNewRomanPSMT"/>
          <w:kern w:val="0"/>
          <w:sz w:val="24"/>
          <w:szCs w:val="24"/>
        </w:rPr>
      </w:pPr>
      <w:bookmarkStart w:id="185" w:name="_Toc393750138"/>
      <w:bookmarkStart w:id="186" w:name="_Toc202287577"/>
      <w:bookmarkStart w:id="187" w:name="_Toc430795464"/>
      <w:r>
        <w:rPr>
          <w:rFonts w:hint="eastAsia" w:ascii="宋体" w:hAnsi="宋体" w:eastAsia="宋体" w:cs="TimesNewRomanPSMT"/>
          <w:kern w:val="0"/>
          <w:sz w:val="24"/>
          <w:szCs w:val="24"/>
        </w:rPr>
        <w:t>㈠、</w:t>
      </w:r>
      <w:r>
        <w:rPr>
          <w:rFonts w:hint="eastAsia" w:ascii="宋体" w:hAnsi="宋体"/>
          <w:kern w:val="0"/>
          <w:sz w:val="24"/>
          <w:szCs w:val="20"/>
        </w:rPr>
        <w:t>投标人</w:t>
      </w:r>
      <w:r>
        <w:rPr>
          <w:rFonts w:hint="eastAsia" w:ascii="宋体" w:hAnsi="宋体" w:eastAsia="宋体" w:cs="TimesNewRomanPSMT"/>
          <w:kern w:val="0"/>
          <w:sz w:val="24"/>
          <w:szCs w:val="24"/>
        </w:rPr>
        <w:t>基本情况表</w:t>
      </w:r>
      <w:bookmarkEnd w:id="185"/>
      <w:bookmarkEnd w:id="186"/>
      <w:bookmarkEnd w:id="187"/>
    </w:p>
    <w:tbl>
      <w:tblPr>
        <w:tblStyle w:val="9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158"/>
        <w:gridCol w:w="579"/>
        <w:gridCol w:w="579"/>
        <w:gridCol w:w="1158"/>
        <w:gridCol w:w="1158"/>
        <w:gridCol w:w="1064"/>
        <w:gridCol w:w="57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642" w:type="dxa"/>
            <w:vAlign w:val="center"/>
          </w:tcPr>
          <w:p>
            <w:pPr>
              <w:jc w:val="center"/>
            </w:pPr>
            <w:r>
              <w:rPr>
                <w:rFonts w:hint="eastAsia"/>
              </w:rPr>
              <w:t>投标人名称</w:t>
            </w:r>
          </w:p>
        </w:tc>
        <w:tc>
          <w:tcPr>
            <w:tcW w:w="7433" w:type="dxa"/>
            <w:gridSpan w:val="8"/>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注册地址</w:t>
            </w:r>
          </w:p>
        </w:tc>
        <w:tc>
          <w:tcPr>
            <w:tcW w:w="2316" w:type="dxa"/>
            <w:gridSpan w:val="3"/>
            <w:vAlign w:val="center"/>
          </w:tcPr>
          <w:p>
            <w:pPr>
              <w:jc w:val="center"/>
              <w:rPr>
                <w:rFonts w:ascii="Tahoma" w:hAnsi="Tahoma"/>
                <w:sz w:val="24"/>
                <w:szCs w:val="20"/>
              </w:rPr>
            </w:pPr>
          </w:p>
        </w:tc>
        <w:tc>
          <w:tcPr>
            <w:tcW w:w="2316" w:type="dxa"/>
            <w:gridSpan w:val="2"/>
            <w:vAlign w:val="center"/>
          </w:tcPr>
          <w:p>
            <w:pPr>
              <w:jc w:val="center"/>
              <w:rPr>
                <w:rFonts w:ascii="Tahoma" w:hAnsi="Tahoma"/>
                <w:sz w:val="24"/>
                <w:szCs w:val="20"/>
              </w:rPr>
            </w:pPr>
            <w:r>
              <w:rPr>
                <w:rFonts w:hint="eastAsia" w:ascii="Tahoma" w:hAnsi="Tahoma"/>
                <w:sz w:val="24"/>
                <w:szCs w:val="20"/>
              </w:rPr>
              <w:t>邮政编码</w:t>
            </w:r>
          </w:p>
        </w:tc>
        <w:tc>
          <w:tcPr>
            <w:tcW w:w="2801" w:type="dxa"/>
            <w:gridSpan w:val="3"/>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Merge w:val="restart"/>
            <w:vAlign w:val="center"/>
          </w:tcPr>
          <w:p>
            <w:pPr>
              <w:jc w:val="center"/>
            </w:pPr>
            <w:r>
              <w:rPr>
                <w:rFonts w:hint="eastAsia"/>
              </w:rPr>
              <w:t>联系方式</w:t>
            </w:r>
          </w:p>
        </w:tc>
        <w:tc>
          <w:tcPr>
            <w:tcW w:w="1737" w:type="dxa"/>
            <w:gridSpan w:val="2"/>
            <w:vAlign w:val="center"/>
          </w:tcPr>
          <w:p>
            <w:pPr>
              <w:jc w:val="center"/>
            </w:pPr>
            <w:r>
              <w:rPr>
                <w:rFonts w:hint="eastAsia"/>
              </w:rPr>
              <w:t>联系人</w:t>
            </w:r>
          </w:p>
        </w:tc>
        <w:tc>
          <w:tcPr>
            <w:tcW w:w="1737" w:type="dxa"/>
            <w:gridSpan w:val="2"/>
            <w:vAlign w:val="center"/>
          </w:tcPr>
          <w:p>
            <w:pPr>
              <w:jc w:val="center"/>
            </w:pPr>
          </w:p>
        </w:tc>
        <w:tc>
          <w:tcPr>
            <w:tcW w:w="2222" w:type="dxa"/>
            <w:gridSpan w:val="2"/>
            <w:vAlign w:val="center"/>
          </w:tcPr>
          <w:p>
            <w:pPr>
              <w:jc w:val="center"/>
            </w:pPr>
            <w:r>
              <w:rPr>
                <w:rFonts w:hint="eastAsia"/>
              </w:rPr>
              <w:t>电话</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Merge w:val="continue"/>
            <w:vAlign w:val="center"/>
          </w:tcPr>
          <w:p>
            <w:pPr>
              <w:jc w:val="center"/>
            </w:pPr>
          </w:p>
        </w:tc>
        <w:tc>
          <w:tcPr>
            <w:tcW w:w="1737" w:type="dxa"/>
            <w:gridSpan w:val="2"/>
            <w:vAlign w:val="center"/>
          </w:tcPr>
          <w:p>
            <w:pPr>
              <w:jc w:val="center"/>
            </w:pPr>
            <w:r>
              <w:rPr>
                <w:rFonts w:hint="eastAsia"/>
              </w:rPr>
              <w:t>传真</w:t>
            </w:r>
          </w:p>
        </w:tc>
        <w:tc>
          <w:tcPr>
            <w:tcW w:w="1737" w:type="dxa"/>
            <w:gridSpan w:val="2"/>
            <w:vAlign w:val="center"/>
          </w:tcPr>
          <w:p>
            <w:pPr>
              <w:jc w:val="center"/>
            </w:pPr>
          </w:p>
        </w:tc>
        <w:tc>
          <w:tcPr>
            <w:tcW w:w="2222" w:type="dxa"/>
            <w:gridSpan w:val="2"/>
            <w:vAlign w:val="center"/>
          </w:tcPr>
          <w:p>
            <w:pPr>
              <w:jc w:val="center"/>
            </w:pPr>
            <w:r>
              <w:rPr>
                <w:rFonts w:hint="eastAsia"/>
              </w:rPr>
              <w:t>网址</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法定代表人</w:t>
            </w:r>
          </w:p>
        </w:tc>
        <w:tc>
          <w:tcPr>
            <w:tcW w:w="1158" w:type="dxa"/>
            <w:vAlign w:val="center"/>
          </w:tcPr>
          <w:p>
            <w:pPr>
              <w:jc w:val="center"/>
              <w:rPr>
                <w:rFonts w:ascii="Tahoma" w:hAnsi="Tahoma"/>
                <w:sz w:val="24"/>
                <w:szCs w:val="20"/>
              </w:rPr>
            </w:pPr>
            <w:r>
              <w:rPr>
                <w:rFonts w:hint="eastAsia" w:ascii="Tahoma" w:hAnsi="Tahoma"/>
                <w:sz w:val="24"/>
                <w:szCs w:val="20"/>
              </w:rPr>
              <w:t>姓名</w:t>
            </w:r>
          </w:p>
        </w:tc>
        <w:tc>
          <w:tcPr>
            <w:tcW w:w="1158" w:type="dxa"/>
            <w:gridSpan w:val="2"/>
            <w:vAlign w:val="center"/>
          </w:tcPr>
          <w:p>
            <w:pPr>
              <w:jc w:val="center"/>
              <w:rPr>
                <w:rFonts w:ascii="Tahoma" w:hAnsi="Tahoma"/>
                <w:sz w:val="24"/>
                <w:szCs w:val="20"/>
              </w:rPr>
            </w:pPr>
          </w:p>
        </w:tc>
        <w:tc>
          <w:tcPr>
            <w:tcW w:w="1158" w:type="dxa"/>
            <w:vAlign w:val="center"/>
          </w:tcPr>
          <w:p>
            <w:pPr>
              <w:jc w:val="center"/>
              <w:rPr>
                <w:rFonts w:ascii="Tahoma" w:hAnsi="Tahoma"/>
                <w:sz w:val="24"/>
                <w:szCs w:val="20"/>
              </w:rPr>
            </w:pPr>
            <w:r>
              <w:rPr>
                <w:rFonts w:hint="eastAsia" w:ascii="Tahoma" w:hAnsi="Tahoma"/>
                <w:sz w:val="24"/>
                <w:szCs w:val="20"/>
              </w:rPr>
              <w:t>技术职称</w:t>
            </w:r>
          </w:p>
        </w:tc>
        <w:tc>
          <w:tcPr>
            <w:tcW w:w="1158" w:type="dxa"/>
            <w:vAlign w:val="center"/>
          </w:tcPr>
          <w:p>
            <w:pPr>
              <w:jc w:val="center"/>
              <w:rPr>
                <w:rFonts w:ascii="Tahoma" w:hAnsi="Tahoma"/>
                <w:sz w:val="24"/>
                <w:szCs w:val="20"/>
              </w:rPr>
            </w:pPr>
          </w:p>
        </w:tc>
        <w:tc>
          <w:tcPr>
            <w:tcW w:w="1643" w:type="dxa"/>
            <w:gridSpan w:val="2"/>
            <w:vAlign w:val="center"/>
          </w:tcPr>
          <w:p>
            <w:pPr>
              <w:jc w:val="center"/>
              <w:rPr>
                <w:rFonts w:ascii="Tahoma" w:hAnsi="Tahoma"/>
                <w:sz w:val="24"/>
                <w:szCs w:val="20"/>
              </w:rPr>
            </w:pPr>
            <w:r>
              <w:rPr>
                <w:rFonts w:hint="eastAsia" w:ascii="Tahoma" w:hAnsi="Tahoma"/>
                <w:sz w:val="24"/>
                <w:szCs w:val="20"/>
              </w:rPr>
              <w:t>电话</w:t>
            </w:r>
          </w:p>
        </w:tc>
        <w:tc>
          <w:tcPr>
            <w:tcW w:w="1158" w:type="dxa"/>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技术负责人</w:t>
            </w:r>
          </w:p>
        </w:tc>
        <w:tc>
          <w:tcPr>
            <w:tcW w:w="1158" w:type="dxa"/>
            <w:vAlign w:val="center"/>
          </w:tcPr>
          <w:p>
            <w:pPr>
              <w:jc w:val="center"/>
              <w:rPr>
                <w:rFonts w:ascii="Tahoma" w:hAnsi="Tahoma"/>
                <w:sz w:val="24"/>
                <w:szCs w:val="20"/>
              </w:rPr>
            </w:pPr>
            <w:r>
              <w:rPr>
                <w:rFonts w:hint="eastAsia" w:ascii="Tahoma" w:hAnsi="Tahoma"/>
                <w:sz w:val="24"/>
                <w:szCs w:val="20"/>
              </w:rPr>
              <w:t>姓名</w:t>
            </w:r>
          </w:p>
        </w:tc>
        <w:tc>
          <w:tcPr>
            <w:tcW w:w="1158" w:type="dxa"/>
            <w:gridSpan w:val="2"/>
            <w:vAlign w:val="center"/>
          </w:tcPr>
          <w:p>
            <w:pPr>
              <w:jc w:val="center"/>
              <w:rPr>
                <w:rFonts w:ascii="Tahoma" w:hAnsi="Tahoma"/>
                <w:sz w:val="24"/>
                <w:szCs w:val="20"/>
              </w:rPr>
            </w:pPr>
          </w:p>
        </w:tc>
        <w:tc>
          <w:tcPr>
            <w:tcW w:w="1158" w:type="dxa"/>
            <w:vAlign w:val="center"/>
          </w:tcPr>
          <w:p>
            <w:pPr>
              <w:jc w:val="center"/>
              <w:rPr>
                <w:rFonts w:ascii="Tahoma" w:hAnsi="Tahoma"/>
                <w:sz w:val="24"/>
                <w:szCs w:val="20"/>
              </w:rPr>
            </w:pPr>
            <w:r>
              <w:rPr>
                <w:rFonts w:hint="eastAsia" w:ascii="Tahoma" w:hAnsi="Tahoma"/>
                <w:sz w:val="24"/>
                <w:szCs w:val="20"/>
              </w:rPr>
              <w:t>技术职称</w:t>
            </w:r>
          </w:p>
        </w:tc>
        <w:tc>
          <w:tcPr>
            <w:tcW w:w="1158" w:type="dxa"/>
            <w:vAlign w:val="center"/>
          </w:tcPr>
          <w:p>
            <w:pPr>
              <w:jc w:val="center"/>
              <w:rPr>
                <w:rFonts w:ascii="Tahoma" w:hAnsi="Tahoma"/>
                <w:sz w:val="24"/>
                <w:szCs w:val="20"/>
              </w:rPr>
            </w:pPr>
          </w:p>
        </w:tc>
        <w:tc>
          <w:tcPr>
            <w:tcW w:w="1643" w:type="dxa"/>
            <w:gridSpan w:val="2"/>
            <w:vAlign w:val="center"/>
          </w:tcPr>
          <w:p>
            <w:pPr>
              <w:jc w:val="center"/>
              <w:rPr>
                <w:rFonts w:ascii="Tahoma" w:hAnsi="Tahoma"/>
                <w:sz w:val="24"/>
                <w:szCs w:val="20"/>
              </w:rPr>
            </w:pPr>
            <w:r>
              <w:rPr>
                <w:rFonts w:hint="eastAsia" w:ascii="Tahoma" w:hAnsi="Tahoma"/>
                <w:sz w:val="24"/>
                <w:szCs w:val="20"/>
              </w:rPr>
              <w:t>电话</w:t>
            </w:r>
          </w:p>
        </w:tc>
        <w:tc>
          <w:tcPr>
            <w:tcW w:w="1158" w:type="dxa"/>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成立时间</w:t>
            </w:r>
          </w:p>
        </w:tc>
        <w:tc>
          <w:tcPr>
            <w:tcW w:w="3474" w:type="dxa"/>
            <w:gridSpan w:val="4"/>
            <w:vAlign w:val="center"/>
          </w:tcPr>
          <w:p>
            <w:pPr>
              <w:jc w:val="center"/>
              <w:rPr>
                <w:rFonts w:ascii="Tahoma" w:hAnsi="Tahoma"/>
                <w:sz w:val="24"/>
                <w:szCs w:val="20"/>
              </w:rPr>
            </w:pPr>
          </w:p>
        </w:tc>
        <w:tc>
          <w:tcPr>
            <w:tcW w:w="3959" w:type="dxa"/>
            <w:gridSpan w:val="4"/>
            <w:vAlign w:val="center"/>
          </w:tcPr>
          <w:p>
            <w:pPr>
              <w:rPr>
                <w:rFonts w:ascii="Tahoma" w:hAnsi="Tahoma"/>
                <w:sz w:val="24"/>
                <w:szCs w:val="20"/>
              </w:rPr>
            </w:pPr>
            <w:r>
              <w:rPr>
                <w:rFonts w:hint="eastAsia" w:ascii="Tahoma" w:hAnsi="Tahoma"/>
                <w:sz w:val="24"/>
                <w:szCs w:val="20"/>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企业资质等级</w:t>
            </w:r>
          </w:p>
        </w:tc>
        <w:tc>
          <w:tcPr>
            <w:tcW w:w="1737" w:type="dxa"/>
            <w:gridSpan w:val="2"/>
            <w:vAlign w:val="center"/>
          </w:tcPr>
          <w:p>
            <w:pPr>
              <w:jc w:val="center"/>
            </w:pPr>
          </w:p>
        </w:tc>
        <w:tc>
          <w:tcPr>
            <w:tcW w:w="1737" w:type="dxa"/>
            <w:gridSpan w:val="2"/>
            <w:vMerge w:val="restart"/>
            <w:vAlign w:val="center"/>
          </w:tcPr>
          <w:p>
            <w:pPr>
              <w:jc w:val="center"/>
            </w:pPr>
            <w:r>
              <w:rPr>
                <w:rFonts w:hint="eastAsia"/>
              </w:rPr>
              <w:t>其中</w:t>
            </w:r>
          </w:p>
        </w:tc>
        <w:tc>
          <w:tcPr>
            <w:tcW w:w="2222" w:type="dxa"/>
            <w:gridSpan w:val="2"/>
            <w:vAlign w:val="center"/>
          </w:tcPr>
          <w:p>
            <w:pPr>
              <w:jc w:val="center"/>
            </w:pPr>
            <w:r>
              <w:rPr>
                <w:rFonts w:hint="eastAsia"/>
              </w:rPr>
              <w:t>项目负责人（人数）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营业执照号</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高级职称人员（人数）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注册资金</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中级职称人员（人数）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开户银行</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初级职称人员（人数）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账号</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技工（人数）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经营范围</w:t>
            </w:r>
          </w:p>
        </w:tc>
        <w:tc>
          <w:tcPr>
            <w:tcW w:w="7433" w:type="dxa"/>
            <w:gridSpan w:val="8"/>
            <w:vAlign w:val="center"/>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备注</w:t>
            </w:r>
          </w:p>
        </w:tc>
        <w:tc>
          <w:tcPr>
            <w:tcW w:w="7433" w:type="dxa"/>
            <w:gridSpan w:val="8"/>
            <w:vAlign w:val="center"/>
          </w:tcPr>
          <w:p>
            <w:pPr>
              <w:jc w:val="center"/>
              <w:rPr>
                <w:rFonts w:ascii="Tahoma" w:hAnsi="Tahoma"/>
                <w:sz w:val="24"/>
                <w:szCs w:val="20"/>
              </w:rPr>
            </w:pPr>
          </w:p>
        </w:tc>
      </w:tr>
    </w:tbl>
    <w:p>
      <w:pPr>
        <w:pStyle w:val="365"/>
        <w:spacing w:line="400" w:lineRule="exact"/>
        <w:ind w:right="281" w:rightChars="134"/>
        <w:rPr>
          <w:rFonts w:hAnsi="宋体"/>
        </w:rPr>
      </w:pPr>
      <w:r>
        <w:rPr>
          <w:rFonts w:hint="eastAsia" w:hAnsi="宋体"/>
        </w:rPr>
        <w:t>注：1、本表后须附企业营业执照副本、企业资质证书副本、《安全生产许可证》、“佛山市建筑诚信评价体系管理平台”网页截图打印件、“进粤企业和人员诚信信息登记平台”登记证明网页打印件（外省企业）等</w:t>
      </w:r>
      <w:r>
        <w:rPr>
          <w:rFonts w:hint="eastAsia" w:ascii="Tahoma" w:hAnsi="宋体"/>
          <w:sz w:val="24"/>
          <w:szCs w:val="20"/>
        </w:rPr>
        <w:t>的</w:t>
      </w:r>
      <w:r>
        <w:rPr>
          <w:rFonts w:hint="eastAsia" w:hAnsi="宋体"/>
        </w:rPr>
        <w:t>复印件并加盖投标人公章。</w:t>
      </w:r>
    </w:p>
    <w:p>
      <w:pPr>
        <w:spacing w:line="360" w:lineRule="exact"/>
        <w:ind w:firstLine="420" w:firstLineChars="200"/>
        <w:rPr>
          <w:rFonts w:hAnsi="宋体"/>
        </w:rPr>
      </w:pPr>
      <w:r>
        <w:rPr>
          <w:rFonts w:hint="eastAsia" w:hAnsi="宋体"/>
        </w:rPr>
        <w:t>2、提供的复印件资料必须清晰、明辨，否则投标人须自行承担后果。</w:t>
      </w:r>
    </w:p>
    <w:p/>
    <w:p>
      <w:pPr>
        <w:pStyle w:val="3"/>
        <w:spacing w:before="120" w:after="120" w:line="360" w:lineRule="auto"/>
        <w:rPr>
          <w:rFonts w:ascii="宋体" w:hAnsi="宋体" w:eastAsia="宋体" w:cs="TimesNewRomanPSMT"/>
          <w:kern w:val="0"/>
          <w:sz w:val="24"/>
          <w:szCs w:val="24"/>
        </w:rPr>
      </w:pPr>
      <w:r>
        <w:br w:type="page"/>
      </w:r>
      <w:bookmarkStart w:id="188" w:name="_Toc393750139"/>
      <w:bookmarkStart w:id="189" w:name="_Toc430795465"/>
      <w:bookmarkStart w:id="190" w:name="_Toc202287581"/>
      <w:r>
        <w:rPr>
          <w:rFonts w:hint="eastAsia" w:ascii="宋体" w:hAnsi="宋体" w:eastAsia="宋体" w:cs="TimesNewRomanPSMT"/>
          <w:kern w:val="0"/>
          <w:sz w:val="24"/>
          <w:szCs w:val="24"/>
        </w:rPr>
        <w:t>㈡、项目管理机构表</w:t>
      </w:r>
      <w:bookmarkEnd w:id="188"/>
      <w:bookmarkEnd w:id="189"/>
    </w:p>
    <w:p>
      <w:pPr>
        <w:pStyle w:val="4"/>
        <w:spacing w:before="0" w:after="120" w:line="360" w:lineRule="auto"/>
        <w:jc w:val="center"/>
        <w:rPr>
          <w:rFonts w:ascii="宋体" w:hAnsi="宋体" w:cs="TimesNewRomanPSMT"/>
          <w:kern w:val="0"/>
          <w:sz w:val="24"/>
          <w:szCs w:val="24"/>
        </w:rPr>
      </w:pPr>
      <w:bookmarkStart w:id="191" w:name="_Toc393750140"/>
      <w:r>
        <w:rPr>
          <w:rFonts w:hint="eastAsia" w:ascii="宋体" w:hAnsi="宋体" w:cs="TimesNewRomanPSMT"/>
          <w:kern w:val="0"/>
          <w:sz w:val="24"/>
          <w:szCs w:val="24"/>
        </w:rPr>
        <w:t>项目管理机构表（1）—汇总表</w:t>
      </w:r>
      <w:bookmarkEnd w:id="191"/>
    </w:p>
    <w:tbl>
      <w:tblPr>
        <w:tblStyle w:val="92"/>
        <w:tblW w:w="8955"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97"/>
        <w:gridCol w:w="1223"/>
        <w:gridCol w:w="709"/>
        <w:gridCol w:w="850"/>
        <w:gridCol w:w="992"/>
        <w:gridCol w:w="1276"/>
        <w:gridCol w:w="1276"/>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7" w:type="dxa"/>
            <w:vMerge w:val="restart"/>
            <w:vAlign w:val="center"/>
          </w:tcPr>
          <w:p>
            <w:pPr>
              <w:jc w:val="center"/>
              <w:rPr>
                <w:rFonts w:ascii="宋体" w:hAnsi="宋体"/>
              </w:rPr>
            </w:pPr>
            <w:r>
              <w:rPr>
                <w:rFonts w:hint="eastAsia" w:ascii="宋体" w:hAnsi="宋体" w:cs="仿宋_GB2312"/>
                <w:kern w:val="0"/>
                <w:sz w:val="24"/>
              </w:rPr>
              <w:t>职务</w:t>
            </w:r>
          </w:p>
        </w:tc>
        <w:tc>
          <w:tcPr>
            <w:tcW w:w="797" w:type="dxa"/>
            <w:vMerge w:val="restart"/>
            <w:vAlign w:val="center"/>
          </w:tcPr>
          <w:p>
            <w:pPr>
              <w:jc w:val="center"/>
              <w:rPr>
                <w:rFonts w:ascii="宋体" w:hAnsi="宋体"/>
              </w:rPr>
            </w:pPr>
            <w:r>
              <w:rPr>
                <w:rFonts w:hint="eastAsia" w:ascii="宋体" w:hAnsi="宋体" w:cs="仿宋_GB2312"/>
                <w:kern w:val="0"/>
                <w:sz w:val="24"/>
              </w:rPr>
              <w:t>姓名</w:t>
            </w:r>
          </w:p>
        </w:tc>
        <w:tc>
          <w:tcPr>
            <w:tcW w:w="1223" w:type="dxa"/>
            <w:vMerge w:val="restart"/>
            <w:vAlign w:val="center"/>
          </w:tcPr>
          <w:p>
            <w:pPr>
              <w:jc w:val="center"/>
              <w:rPr>
                <w:rFonts w:ascii="宋体" w:hAnsi="宋体"/>
              </w:rPr>
            </w:pPr>
            <w:r>
              <w:rPr>
                <w:rFonts w:hint="eastAsia" w:ascii="宋体" w:hAnsi="宋体"/>
              </w:rPr>
              <w:t>身份证号码</w:t>
            </w:r>
          </w:p>
        </w:tc>
        <w:tc>
          <w:tcPr>
            <w:tcW w:w="709" w:type="dxa"/>
            <w:vMerge w:val="restart"/>
            <w:vAlign w:val="center"/>
          </w:tcPr>
          <w:p>
            <w:pPr>
              <w:autoSpaceDE w:val="0"/>
              <w:autoSpaceDN w:val="0"/>
              <w:adjustRightInd w:val="0"/>
              <w:spacing w:line="360" w:lineRule="auto"/>
              <w:jc w:val="center"/>
              <w:rPr>
                <w:rFonts w:ascii="宋体" w:hAnsi="宋体" w:cs="仿宋_GB2312"/>
                <w:kern w:val="0"/>
                <w:sz w:val="24"/>
              </w:rPr>
            </w:pPr>
            <w:r>
              <w:rPr>
                <w:rFonts w:hint="eastAsia" w:ascii="宋体" w:hAnsi="宋体" w:cs="仿宋_GB2312"/>
                <w:kern w:val="0"/>
                <w:sz w:val="24"/>
              </w:rPr>
              <w:t>职称</w:t>
            </w:r>
          </w:p>
        </w:tc>
        <w:tc>
          <w:tcPr>
            <w:tcW w:w="4394" w:type="dxa"/>
            <w:gridSpan w:val="4"/>
            <w:vAlign w:val="center"/>
          </w:tcPr>
          <w:p>
            <w:pPr>
              <w:autoSpaceDE w:val="0"/>
              <w:autoSpaceDN w:val="0"/>
              <w:adjustRightInd w:val="0"/>
              <w:spacing w:line="360" w:lineRule="auto"/>
              <w:ind w:firstLine="480" w:firstLineChars="200"/>
              <w:jc w:val="center"/>
              <w:rPr>
                <w:rFonts w:ascii="宋体" w:hAnsi="宋体" w:cs="仿宋_GB2312"/>
                <w:kern w:val="0"/>
                <w:sz w:val="24"/>
              </w:rPr>
            </w:pPr>
            <w:r>
              <w:rPr>
                <w:rFonts w:hint="eastAsia" w:ascii="宋体" w:hAnsi="宋体" w:cs="仿宋_GB2312"/>
                <w:kern w:val="0"/>
                <w:sz w:val="24"/>
              </w:rPr>
              <w:t>执业或职业资格证明</w:t>
            </w:r>
          </w:p>
        </w:tc>
        <w:tc>
          <w:tcPr>
            <w:tcW w:w="905" w:type="dxa"/>
            <w:vMerge w:val="restart"/>
            <w:vAlign w:val="center"/>
          </w:tcPr>
          <w:p>
            <w:pPr>
              <w:jc w:val="center"/>
              <w:rPr>
                <w:rFonts w:ascii="宋体" w:hAnsi="宋体"/>
              </w:rPr>
            </w:pPr>
            <w:r>
              <w:rPr>
                <w:rFonts w:hint="eastAsia" w:ascii="宋体" w:hAnsi="宋体" w:cs="仿宋_GB2312"/>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Merge w:val="continue"/>
            <w:vAlign w:val="center"/>
          </w:tcPr>
          <w:p>
            <w:pPr>
              <w:jc w:val="center"/>
              <w:rPr>
                <w:rFonts w:ascii="宋体" w:hAnsi="宋体"/>
              </w:rPr>
            </w:pPr>
          </w:p>
        </w:tc>
        <w:tc>
          <w:tcPr>
            <w:tcW w:w="797" w:type="dxa"/>
            <w:vMerge w:val="continue"/>
            <w:vAlign w:val="center"/>
          </w:tcPr>
          <w:p>
            <w:pPr>
              <w:jc w:val="center"/>
              <w:rPr>
                <w:rFonts w:ascii="宋体" w:hAnsi="宋体"/>
              </w:rPr>
            </w:pPr>
          </w:p>
        </w:tc>
        <w:tc>
          <w:tcPr>
            <w:tcW w:w="1223" w:type="dxa"/>
            <w:vMerge w:val="continue"/>
            <w:vAlign w:val="center"/>
          </w:tcPr>
          <w:p>
            <w:pPr>
              <w:jc w:val="center"/>
              <w:rPr>
                <w:rFonts w:ascii="宋体" w:hAnsi="宋体"/>
              </w:rPr>
            </w:pPr>
          </w:p>
        </w:tc>
        <w:tc>
          <w:tcPr>
            <w:tcW w:w="709" w:type="dxa"/>
            <w:vMerge w:val="continue"/>
            <w:vAlign w:val="center"/>
          </w:tcPr>
          <w:p>
            <w:pPr>
              <w:jc w:val="center"/>
              <w:rPr>
                <w:rFonts w:ascii="宋体" w:hAnsi="宋体"/>
              </w:rPr>
            </w:pPr>
          </w:p>
        </w:tc>
        <w:tc>
          <w:tcPr>
            <w:tcW w:w="850" w:type="dxa"/>
            <w:vAlign w:val="center"/>
          </w:tcPr>
          <w:p>
            <w:pPr>
              <w:jc w:val="center"/>
              <w:rPr>
                <w:rFonts w:ascii="宋体" w:hAnsi="宋体"/>
              </w:rPr>
            </w:pPr>
            <w:r>
              <w:rPr>
                <w:rFonts w:hint="eastAsia" w:ascii="宋体" w:hAnsi="宋体" w:cs="仿宋_GB2312"/>
                <w:kern w:val="0"/>
                <w:sz w:val="24"/>
              </w:rPr>
              <w:t>证书名称</w:t>
            </w:r>
          </w:p>
        </w:tc>
        <w:tc>
          <w:tcPr>
            <w:tcW w:w="992" w:type="dxa"/>
            <w:vAlign w:val="center"/>
          </w:tcPr>
          <w:p>
            <w:pPr>
              <w:jc w:val="center"/>
              <w:rPr>
                <w:rFonts w:ascii="宋体" w:hAnsi="宋体"/>
              </w:rPr>
            </w:pPr>
            <w:r>
              <w:rPr>
                <w:rFonts w:hint="eastAsia" w:ascii="宋体" w:hAnsi="宋体" w:cs="仿宋_GB2312"/>
                <w:kern w:val="0"/>
                <w:sz w:val="24"/>
              </w:rPr>
              <w:t>级别</w:t>
            </w:r>
          </w:p>
        </w:tc>
        <w:tc>
          <w:tcPr>
            <w:tcW w:w="1276" w:type="dxa"/>
            <w:vAlign w:val="center"/>
          </w:tcPr>
          <w:p>
            <w:pPr>
              <w:jc w:val="center"/>
              <w:rPr>
                <w:rFonts w:ascii="宋体" w:hAnsi="宋体"/>
              </w:rPr>
            </w:pPr>
            <w:r>
              <w:rPr>
                <w:rFonts w:hint="eastAsia" w:ascii="宋体" w:hAnsi="宋体" w:cs="仿宋_GB2312"/>
                <w:kern w:val="0"/>
                <w:sz w:val="24"/>
              </w:rPr>
              <w:t>证号</w:t>
            </w:r>
          </w:p>
        </w:tc>
        <w:tc>
          <w:tcPr>
            <w:tcW w:w="1276" w:type="dxa"/>
            <w:vAlign w:val="center"/>
          </w:tcPr>
          <w:p>
            <w:pPr>
              <w:jc w:val="center"/>
              <w:rPr>
                <w:rFonts w:ascii="宋体" w:hAnsi="宋体"/>
              </w:rPr>
            </w:pPr>
            <w:r>
              <w:rPr>
                <w:rFonts w:hint="eastAsia" w:ascii="宋体" w:hAnsi="宋体" w:cs="仿宋_GB2312"/>
                <w:kern w:val="0"/>
                <w:sz w:val="24"/>
              </w:rPr>
              <w:t>专业</w:t>
            </w:r>
          </w:p>
        </w:tc>
        <w:tc>
          <w:tcPr>
            <w:tcW w:w="905" w:type="dxa"/>
            <w:vMerge w:val="continue"/>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bl>
    <w:p>
      <w:pPr>
        <w:rPr>
          <w:rFonts w:ascii="黑体" w:hAnsi="宋体" w:eastAsia="黑体"/>
          <w:b/>
          <w:bCs/>
          <w:szCs w:val="21"/>
        </w:rPr>
      </w:pPr>
      <w:r>
        <w:rPr>
          <w:rFonts w:hint="eastAsia" w:ascii="黑体" w:hAnsi="宋体" w:eastAsia="黑体"/>
          <w:b/>
          <w:bCs/>
          <w:szCs w:val="21"/>
        </w:rPr>
        <w:t>注：1．投标人应根据本工程的实际情况及第三章“评标办法前附表”的要求填入拟派驻人员。</w:t>
      </w:r>
    </w:p>
    <w:p>
      <w:pPr>
        <w:ind w:firstLine="413" w:firstLineChars="196"/>
        <w:rPr>
          <w:rFonts w:ascii="黑体" w:hAnsi="宋体" w:eastAsia="黑体"/>
          <w:b/>
          <w:bCs/>
          <w:szCs w:val="21"/>
        </w:rPr>
      </w:pPr>
      <w:r>
        <w:rPr>
          <w:rFonts w:hint="eastAsia" w:ascii="黑体" w:hAnsi="宋体" w:eastAsia="黑体"/>
          <w:b/>
          <w:bCs/>
          <w:szCs w:val="21"/>
        </w:rPr>
        <w:t>2．各人员还应填写《项目管理机构表（2）—主要人员简历表》每人一份，并按要求在表（2）后附相关的证件的复印件。</w:t>
      </w:r>
    </w:p>
    <w:p>
      <w:pPr>
        <w:jc w:val="center"/>
        <w:rPr>
          <w:rFonts w:ascii="宋体" w:hAnsi="宋体"/>
          <w:b/>
          <w:sz w:val="28"/>
          <w:szCs w:val="28"/>
        </w:rPr>
      </w:pPr>
      <w:r>
        <w:rPr>
          <w:rFonts w:hint="eastAsia" w:ascii="宋体" w:hAnsi="宋体"/>
          <w:b/>
          <w:sz w:val="28"/>
          <w:szCs w:val="28"/>
        </w:rPr>
        <w:t>承   诺</w:t>
      </w:r>
    </w:p>
    <w:p>
      <w:pPr>
        <w:ind w:firstLine="413" w:firstLineChars="196"/>
        <w:rPr>
          <w:rFonts w:ascii="宋体" w:hAnsi="宋体"/>
          <w:b/>
          <w:szCs w:val="32"/>
        </w:rPr>
      </w:pPr>
      <w:r>
        <w:rPr>
          <w:rFonts w:hint="eastAsia" w:ascii="宋体" w:hAnsi="宋体"/>
          <w:b/>
          <w:szCs w:val="32"/>
        </w:rPr>
        <w:t>若我公司中标，将按本表所列人员派驻工地，如进驻的人员与本表名单不一致，我公司同意接受违约处罚，招标人有权中止施工合同，并报建设行政主管部门把我公司列为不诚信企业名单。</w:t>
      </w:r>
    </w:p>
    <w:p>
      <w:pPr>
        <w:ind w:left="480"/>
        <w:rPr>
          <w:rFonts w:ascii="宋体" w:hAnsi="宋体"/>
          <w:b/>
          <w:szCs w:val="32"/>
        </w:rPr>
      </w:pPr>
    </w:p>
    <w:p>
      <w:pPr>
        <w:ind w:left="480"/>
        <w:jc w:val="center"/>
        <w:rPr>
          <w:rFonts w:ascii="宋体" w:hAnsi="宋体"/>
          <w:b/>
          <w:szCs w:val="32"/>
          <w:u w:val="single"/>
        </w:rPr>
      </w:pPr>
      <w:r>
        <w:rPr>
          <w:rFonts w:hint="eastAsia" w:ascii="宋体" w:hAnsi="宋体"/>
          <w:b/>
          <w:szCs w:val="32"/>
        </w:rPr>
        <w:t xml:space="preserve">           法定代表人： </w:t>
      </w:r>
      <w:r>
        <w:rPr>
          <w:rFonts w:hint="eastAsia" w:ascii="宋体" w:hAnsi="宋体"/>
          <w:b/>
          <w:szCs w:val="32"/>
          <w:u w:val="single"/>
        </w:rPr>
        <w:t xml:space="preserve">               （签字或盖章）  </w:t>
      </w:r>
    </w:p>
    <w:p>
      <w:pPr>
        <w:ind w:left="481" w:leftChars="229" w:firstLine="2368" w:firstLineChars="1123"/>
        <w:rPr>
          <w:rFonts w:ascii="宋体" w:hAnsi="宋体"/>
          <w:b/>
          <w:szCs w:val="32"/>
          <w:u w:val="single"/>
        </w:rPr>
      </w:pPr>
      <w:r>
        <w:rPr>
          <w:rFonts w:hint="eastAsia" w:ascii="宋体" w:hAnsi="宋体"/>
          <w:b/>
          <w:szCs w:val="32"/>
        </w:rPr>
        <w:t xml:space="preserve">     投 标 人 ：</w:t>
      </w:r>
      <w:r>
        <w:rPr>
          <w:rFonts w:hint="eastAsia" w:ascii="宋体" w:hAnsi="宋体"/>
          <w:b/>
          <w:szCs w:val="32"/>
          <w:u w:val="single"/>
        </w:rPr>
        <w:t xml:space="preserve">                   （盖章）</w:t>
      </w:r>
    </w:p>
    <w:p>
      <w:pPr>
        <w:ind w:left="480"/>
        <w:jc w:val="center"/>
        <w:rPr>
          <w:rFonts w:ascii="宋体" w:hAnsi="宋体"/>
          <w:b/>
          <w:szCs w:val="32"/>
        </w:rPr>
      </w:pPr>
      <w:r>
        <w:rPr>
          <w:rFonts w:hint="eastAsia" w:ascii="宋体" w:hAnsi="宋体"/>
          <w:b/>
          <w:szCs w:val="32"/>
        </w:rPr>
        <w:t xml:space="preserve"> 年月日</w:t>
      </w:r>
    </w:p>
    <w:p>
      <w:pPr>
        <w:ind w:left="480"/>
        <w:jc w:val="center"/>
        <w:rPr>
          <w:rFonts w:ascii="黑体" w:hAnsi="宋体" w:eastAsia="黑体"/>
          <w:b/>
          <w:bCs/>
          <w:i/>
          <w:szCs w:val="21"/>
        </w:rPr>
      </w:pPr>
      <w:r>
        <w:rPr>
          <w:rFonts w:ascii="黑体" w:hAnsi="宋体" w:eastAsia="黑体"/>
          <w:b/>
          <w:bCs/>
          <w:i/>
          <w:szCs w:val="21"/>
        </w:rPr>
        <w:br w:type="page"/>
      </w:r>
    </w:p>
    <w:p>
      <w:pPr>
        <w:pStyle w:val="4"/>
        <w:spacing w:before="0" w:after="120" w:line="360" w:lineRule="auto"/>
        <w:jc w:val="center"/>
        <w:rPr>
          <w:rFonts w:ascii="宋体" w:hAnsi="宋体" w:cs="TimesNewRomanPSMT"/>
          <w:kern w:val="0"/>
          <w:sz w:val="24"/>
          <w:szCs w:val="24"/>
        </w:rPr>
      </w:pPr>
      <w:bookmarkStart w:id="192" w:name="_Toc393750141"/>
      <w:r>
        <w:rPr>
          <w:rFonts w:hint="eastAsia" w:ascii="宋体" w:hAnsi="宋体" w:cs="TimesNewRomanPSMT"/>
          <w:kern w:val="0"/>
          <w:sz w:val="24"/>
          <w:szCs w:val="24"/>
        </w:rPr>
        <w:t>项目管理机构表（2）—主要人员简历表</w:t>
      </w:r>
      <w:bookmarkEnd w:id="192"/>
    </w:p>
    <w:tbl>
      <w:tblPr>
        <w:tblStyle w:val="92"/>
        <w:tblW w:w="9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0"/>
        <w:gridCol w:w="1551"/>
        <w:gridCol w:w="1228"/>
        <w:gridCol w:w="323"/>
        <w:gridCol w:w="166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姓 名</w:t>
            </w:r>
          </w:p>
        </w:tc>
        <w:tc>
          <w:tcPr>
            <w:tcW w:w="1550" w:type="dxa"/>
            <w:vAlign w:val="center"/>
          </w:tcPr>
          <w:p>
            <w:pPr>
              <w:jc w:val="center"/>
            </w:pPr>
          </w:p>
        </w:tc>
        <w:tc>
          <w:tcPr>
            <w:tcW w:w="1551" w:type="dxa"/>
            <w:vAlign w:val="center"/>
          </w:tcPr>
          <w:p>
            <w:pPr>
              <w:jc w:val="center"/>
            </w:pPr>
            <w:r>
              <w:rPr>
                <w:rFonts w:hint="eastAsia" w:ascii="宋体" w:hAnsi="宋体"/>
                <w:sz w:val="24"/>
              </w:rPr>
              <w:t>年 龄</w:t>
            </w:r>
          </w:p>
        </w:tc>
        <w:tc>
          <w:tcPr>
            <w:tcW w:w="1228" w:type="dxa"/>
            <w:vAlign w:val="center"/>
          </w:tcPr>
          <w:p>
            <w:pPr>
              <w:jc w:val="center"/>
            </w:pPr>
          </w:p>
        </w:tc>
        <w:tc>
          <w:tcPr>
            <w:tcW w:w="1984" w:type="dxa"/>
            <w:gridSpan w:val="2"/>
            <w:vAlign w:val="center"/>
          </w:tcPr>
          <w:p>
            <w:pPr>
              <w:jc w:val="center"/>
            </w:pPr>
            <w:r>
              <w:rPr>
                <w:rFonts w:hint="eastAsia" w:ascii="宋体" w:hAnsi="宋体"/>
                <w:sz w:val="24"/>
              </w:rPr>
              <w:t>学 历</w:t>
            </w:r>
          </w:p>
        </w:tc>
        <w:tc>
          <w:tcPr>
            <w:tcW w:w="1441"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职 称</w:t>
            </w:r>
          </w:p>
        </w:tc>
        <w:tc>
          <w:tcPr>
            <w:tcW w:w="1550" w:type="dxa"/>
            <w:vAlign w:val="center"/>
          </w:tcPr>
          <w:p>
            <w:pPr>
              <w:jc w:val="center"/>
            </w:pPr>
          </w:p>
        </w:tc>
        <w:tc>
          <w:tcPr>
            <w:tcW w:w="1551" w:type="dxa"/>
            <w:vAlign w:val="center"/>
          </w:tcPr>
          <w:p>
            <w:pPr>
              <w:jc w:val="center"/>
            </w:pPr>
            <w:r>
              <w:rPr>
                <w:rFonts w:hint="eastAsia" w:ascii="宋体" w:hAnsi="宋体"/>
                <w:sz w:val="24"/>
              </w:rPr>
              <w:t>职 务</w:t>
            </w:r>
          </w:p>
        </w:tc>
        <w:tc>
          <w:tcPr>
            <w:tcW w:w="1228" w:type="dxa"/>
            <w:vAlign w:val="center"/>
          </w:tcPr>
          <w:p>
            <w:pPr>
              <w:jc w:val="center"/>
            </w:pPr>
          </w:p>
        </w:tc>
        <w:tc>
          <w:tcPr>
            <w:tcW w:w="1984" w:type="dxa"/>
            <w:gridSpan w:val="2"/>
            <w:vAlign w:val="center"/>
          </w:tcPr>
          <w:p>
            <w:pPr>
              <w:jc w:val="center"/>
            </w:pPr>
            <w:r>
              <w:rPr>
                <w:rFonts w:hint="eastAsia" w:ascii="宋体" w:hAnsi="宋体"/>
                <w:sz w:val="24"/>
              </w:rPr>
              <w:t>拟在本合同任职</w:t>
            </w:r>
          </w:p>
        </w:tc>
        <w:tc>
          <w:tcPr>
            <w:tcW w:w="1441"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专业</w:t>
            </w:r>
          </w:p>
        </w:tc>
        <w:tc>
          <w:tcPr>
            <w:tcW w:w="7754" w:type="dxa"/>
            <w:gridSpan w:val="6"/>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9304" w:type="dxa"/>
            <w:gridSpan w:val="7"/>
            <w:vAlign w:val="center"/>
          </w:tcPr>
          <w:p>
            <w:pPr>
              <w:jc w:val="center"/>
              <w:rPr>
                <w:rFonts w:ascii="宋体" w:hAnsi="宋体"/>
                <w:sz w:val="24"/>
              </w:rPr>
            </w:pPr>
            <w:r>
              <w:rPr>
                <w:rFonts w:hint="eastAsia" w:ascii="宋体" w:hAnsi="宋体"/>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rPr>
                <w:rFonts w:ascii="宋体" w:hAnsi="宋体"/>
                <w:sz w:val="24"/>
              </w:rPr>
            </w:pPr>
            <w:r>
              <w:rPr>
                <w:rFonts w:hint="eastAsia" w:ascii="宋体" w:hAnsi="宋体"/>
                <w:sz w:val="24"/>
              </w:rPr>
              <w:t>时 间</w:t>
            </w:r>
          </w:p>
        </w:tc>
        <w:tc>
          <w:tcPr>
            <w:tcW w:w="3101" w:type="dxa"/>
            <w:gridSpan w:val="2"/>
            <w:vAlign w:val="center"/>
          </w:tcPr>
          <w:p>
            <w:pPr>
              <w:jc w:val="center"/>
            </w:pPr>
            <w:r>
              <w:rPr>
                <w:rFonts w:hint="eastAsia" w:ascii="宋体" w:hAnsi="宋体"/>
                <w:sz w:val="24"/>
              </w:rPr>
              <w:t>参加过的类似项目</w:t>
            </w:r>
          </w:p>
        </w:tc>
        <w:tc>
          <w:tcPr>
            <w:tcW w:w="1551" w:type="dxa"/>
            <w:gridSpan w:val="2"/>
            <w:vAlign w:val="center"/>
          </w:tcPr>
          <w:p>
            <w:pPr>
              <w:jc w:val="center"/>
              <w:rPr>
                <w:rFonts w:ascii="宋体" w:hAnsi="宋体"/>
                <w:sz w:val="24"/>
              </w:rPr>
            </w:pPr>
            <w:r>
              <w:rPr>
                <w:rFonts w:hint="eastAsia" w:ascii="宋体" w:hAnsi="宋体"/>
                <w:sz w:val="24"/>
              </w:rPr>
              <w:t>担任职务</w:t>
            </w:r>
          </w:p>
        </w:tc>
        <w:tc>
          <w:tcPr>
            <w:tcW w:w="3102" w:type="dxa"/>
            <w:gridSpan w:val="2"/>
            <w:vAlign w:val="center"/>
          </w:tcPr>
          <w:p>
            <w:pPr>
              <w:jc w:val="center"/>
              <w:rPr>
                <w:rFonts w:ascii="宋体" w:hAnsi="宋体"/>
                <w:sz w:val="24"/>
              </w:rPr>
            </w:pPr>
            <w:r>
              <w:rPr>
                <w:rFonts w:hint="eastAsia" w:ascii="宋体" w:hAnsi="宋体"/>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bl>
    <w:p>
      <w:pPr>
        <w:rPr>
          <w:rFonts w:ascii="宋体" w:hAnsi="宋体" w:cs="仿宋_GB2312"/>
          <w:kern w:val="0"/>
          <w:szCs w:val="21"/>
        </w:rPr>
      </w:pPr>
    </w:p>
    <w:p>
      <w:pPr>
        <w:spacing w:line="360" w:lineRule="exact"/>
        <w:rPr>
          <w:rFonts w:ascii="宋体" w:hAnsi="宋体"/>
        </w:rPr>
      </w:pPr>
      <w:r>
        <w:rPr>
          <w:rFonts w:hint="eastAsia" w:ascii="宋体" w:hAnsi="宋体"/>
        </w:rPr>
        <w:t>注：1、拟派项目负责人，专职安全人员应分别填写本表，且表后须附上项目负责人的注册建造师证或建造师临时执业证书、安全生产考核合格证（B证）复印件（在广东省外注册的建造师必须是一级建造师；在广东省内注册的二级建造师可提供“取得二级建筑师、二级结构工程师、二级建造师执业资格证书持证人员从业情况信息公开平台”的个人详细信息网页打印件），并持有有效的《安全生产考核合格证（B证）》（广东省内投标人可提供“广东省建筑施工企业管理人员安全生产考核信息系统”的证书查询信息网页打印件）；专职安全人员的安全生产考核合格证（C证）（广东省内投标人可提供“广东省建筑施工企业管理人员安全生产考核信息系统”的证书查询信息网页打印件）；广东省以外的投标人，建筑企业和人员（项目负责人及专职安全人员）须在“进粤企业和人员诚信信息登记平台”录入相关信息并通过数据规范检查。投标人须提供在广东建设信息网（网址：www.gdcic.net）“进粤企业和人员诚信信息登记平台”关于投标人进粤企业及人员信息登记的网页页面并加盖投标人公章。</w:t>
      </w:r>
    </w:p>
    <w:p>
      <w:pPr>
        <w:tabs>
          <w:tab w:val="left" w:pos="720"/>
        </w:tabs>
        <w:spacing w:line="360" w:lineRule="exact"/>
        <w:ind w:firstLine="420" w:firstLineChars="200"/>
        <w:rPr>
          <w:rFonts w:ascii="宋体" w:hAnsi="宋体"/>
        </w:rPr>
      </w:pPr>
      <w:r>
        <w:rPr>
          <w:rFonts w:hint="eastAsia" w:ascii="宋体" w:hAnsi="宋体"/>
        </w:rPr>
        <w:t>2、提供的复印件资料必须清晰、明辨，否则投标人须自行承担后果。</w:t>
      </w:r>
    </w:p>
    <w:p>
      <w:pPr>
        <w:spacing w:line="360" w:lineRule="auto"/>
        <w:rPr>
          <w:rFonts w:ascii="宋体" w:hAnsi="宋体"/>
          <w:kern w:val="0"/>
          <w:sz w:val="24"/>
          <w:szCs w:val="20"/>
        </w:rPr>
      </w:pPr>
    </w:p>
    <w:p>
      <w:pPr>
        <w:pStyle w:val="3"/>
        <w:spacing w:before="120" w:after="120" w:line="360" w:lineRule="auto"/>
        <w:rPr>
          <w:rFonts w:ascii="宋体" w:hAnsi="宋体" w:eastAsia="宋体" w:cs="TimesNewRomanPSMT"/>
          <w:kern w:val="0"/>
          <w:sz w:val="24"/>
          <w:szCs w:val="24"/>
        </w:rPr>
      </w:pPr>
      <w:r>
        <w:rPr>
          <w:rFonts w:cs="仿宋_GB2312"/>
          <w:kern w:val="0"/>
          <w:szCs w:val="21"/>
        </w:rPr>
        <w:br w:type="page"/>
      </w:r>
      <w:bookmarkStart w:id="193" w:name="_Toc430795466"/>
      <w:bookmarkStart w:id="194" w:name="_Toc393750142"/>
      <w:r>
        <w:rPr>
          <w:rFonts w:hint="eastAsia" w:ascii="宋体" w:hAnsi="宋体" w:eastAsia="宋体" w:cs="TimesNewRomanPSMT"/>
          <w:kern w:val="0"/>
          <w:sz w:val="24"/>
          <w:szCs w:val="24"/>
        </w:rPr>
        <w:t>㈢、近年发生的诉讼及仲裁情况</w:t>
      </w:r>
      <w:bookmarkEnd w:id="190"/>
      <w:bookmarkEnd w:id="193"/>
      <w:bookmarkEnd w:id="194"/>
    </w:p>
    <w:p>
      <w:r>
        <w:rPr>
          <w:rFonts w:hint="eastAsia"/>
          <w:sz w:val="24"/>
        </w:rPr>
        <w:t>注：格式自拟，须附原件并加盖投标人公章。</w:t>
      </w:r>
    </w:p>
    <w:p>
      <w:pPr>
        <w:pStyle w:val="3"/>
      </w:pPr>
    </w:p>
    <w:p>
      <w:pPr>
        <w:pStyle w:val="3"/>
        <w:rPr>
          <w:rFonts w:ascii="宋体" w:hAnsi="宋体" w:eastAsia="宋体"/>
          <w:kern w:val="0"/>
          <w:sz w:val="24"/>
          <w:szCs w:val="24"/>
        </w:rPr>
      </w:pPr>
      <w:r>
        <w:rPr>
          <w:rFonts w:hint="eastAsia" w:ascii="宋体" w:hAnsi="宋体" w:eastAsia="宋体"/>
          <w:kern w:val="0"/>
          <w:sz w:val="24"/>
          <w:szCs w:val="24"/>
        </w:rPr>
        <w:t>㈣、企业信誉状况</w:t>
      </w:r>
    </w:p>
    <w:p>
      <w:pPr>
        <w:spacing w:line="460" w:lineRule="exact"/>
        <w:rPr>
          <w:sz w:val="24"/>
        </w:rPr>
      </w:pPr>
      <w:r>
        <w:rPr>
          <w:rFonts w:hint="eastAsia"/>
          <w:sz w:val="24"/>
        </w:rPr>
        <w:t>注：格式自拟，须提交原件并加盖投标人公章；</w:t>
      </w:r>
    </w:p>
    <w:p>
      <w:pPr>
        <w:pStyle w:val="3"/>
        <w:rPr>
          <w:rFonts w:ascii="宋体" w:hAnsi="宋体" w:eastAsia="宋体"/>
          <w:kern w:val="0"/>
          <w:sz w:val="24"/>
          <w:szCs w:val="24"/>
        </w:rPr>
      </w:pPr>
      <w:bookmarkStart w:id="195" w:name="_Toc202287582"/>
      <w:bookmarkStart w:id="196" w:name="_Toc430795467"/>
      <w:bookmarkStart w:id="197" w:name="_Toc393750143"/>
    </w:p>
    <w:p>
      <w:pPr>
        <w:pStyle w:val="3"/>
        <w:rPr>
          <w:rFonts w:ascii="宋体" w:hAnsi="宋体" w:eastAsia="宋体"/>
          <w:kern w:val="0"/>
          <w:sz w:val="24"/>
          <w:szCs w:val="24"/>
        </w:rPr>
      </w:pPr>
    </w:p>
    <w:p>
      <w:pPr>
        <w:pStyle w:val="3"/>
        <w:rPr>
          <w:rFonts w:ascii="宋体" w:hAnsi="宋体"/>
          <w:kern w:val="0"/>
          <w:sz w:val="24"/>
          <w:szCs w:val="20"/>
        </w:rPr>
      </w:pPr>
      <w:r>
        <w:rPr>
          <w:rFonts w:hint="eastAsia" w:ascii="宋体" w:hAnsi="宋体" w:eastAsia="宋体"/>
          <w:kern w:val="0"/>
          <w:sz w:val="24"/>
          <w:szCs w:val="24"/>
        </w:rPr>
        <w:t>㈤、</w:t>
      </w:r>
      <w:r>
        <w:rPr>
          <w:rFonts w:hint="eastAsia" w:ascii="宋体" w:hAnsi="宋体"/>
          <w:kern w:val="0"/>
          <w:sz w:val="24"/>
          <w:szCs w:val="20"/>
        </w:rPr>
        <w:t>其他材料</w:t>
      </w:r>
      <w:bookmarkEnd w:id="195"/>
      <w:r>
        <w:rPr>
          <w:rFonts w:hint="eastAsia" w:ascii="宋体" w:hAnsi="宋体" w:eastAsia="宋体"/>
          <w:kern w:val="0"/>
          <w:sz w:val="24"/>
          <w:szCs w:val="24"/>
        </w:rPr>
        <w:t>（如有）</w:t>
      </w:r>
      <w:bookmarkEnd w:id="196"/>
      <w:bookmarkEnd w:id="197"/>
    </w:p>
    <w:p>
      <w:pPr>
        <w:spacing w:line="400" w:lineRule="exact"/>
        <w:sectPr>
          <w:footerReference r:id="rId28" w:type="default"/>
          <w:pgSz w:w="11906" w:h="16838"/>
          <w:pgMar w:top="1418" w:right="1134" w:bottom="1418" w:left="1701" w:header="737" w:footer="680" w:gutter="0"/>
          <w:cols w:space="720" w:num="1"/>
          <w:docGrid w:type="lines" w:linePitch="312" w:charSpace="0"/>
        </w:sectPr>
      </w:pPr>
    </w:p>
    <w:p>
      <w:pPr>
        <w:spacing w:line="400" w:lineRule="exact"/>
      </w:pPr>
    </w:p>
    <w:sectPr>
      <w:pgSz w:w="11906" w:h="16838"/>
      <w:pgMar w:top="1418" w:right="1134" w:bottom="1418" w:left="1701" w:header="737" w:footer="68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Times New Roman Bold">
    <w:altName w:val="Times New Roman"/>
    <w:panose1 w:val="02020803070505020304"/>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0" w:csb1="00000000"/>
  </w:font>
  <w:font w:name="Arial Bold">
    <w:altName w:val="Microsoft Sans Serif"/>
    <w:panose1 w:val="020B0704020202020204"/>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 w:name="___WRD_EMBED_SUB_35">
    <w:altName w:val="宋体"/>
    <w:panose1 w:val="00000000000000000000"/>
    <w:charset w:val="86"/>
    <w:family w:val="modern"/>
    <w:pitch w:val="default"/>
    <w:sig w:usb0="00000000" w:usb1="00000000" w:usb2="0000001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宋体"/>
    <w:panose1 w:val="00000000000000000000"/>
    <w:charset w:val="00"/>
    <w:family w:val="roma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1002AFF" w:usb1="C0000002" w:usb2="00000008"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pict>
        <v:shape id="_x0000_s2083" o:spid="_x0000_s2083"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1" o:spid="_x0000_s2091" o:spt="202" type="#_x0000_t202" style="position:absolute;left:0pt;margin-top:0pt;height:144pt;width:144pt;mso-position-horizontal:center;mso-position-horizontal-relative:margin;mso-wrap-style:none;z-index:25168486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2" o:spid="_x0000_s2092"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3" o:spid="_x0000_s2093" o:spt="202" type="#_x0000_t202" style="position:absolute;left:0pt;margin-top:0pt;height:144pt;width:144pt;mso-position-horizontal:center;mso-position-horizontal-relative:margin;mso-wrap-style:none;z-index:25168691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4" o:spid="_x0000_s2094" o:spt="202" type="#_x0000_t202" style="position:absolute;left:0pt;margin-top:0pt;height:144pt;width:144pt;mso-position-horizontal:center;mso-position-horizontal-relative:margin;mso-wrap-style:none;z-index:25168793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75</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5" o:spid="_x0000_s2095"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6" o:spid="_x0000_s2096"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7" o:spid="_x0000_s2097"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108</w:t>
                </w:r>
                <w:r>
                  <w:rPr>
                    <w:rFonts w:hint="eastAsia"/>
                  </w:rPr>
                  <w:fldChar w:fldCharType="end"/>
                </w:r>
                <w:r>
                  <w:rPr>
                    <w:rFonts w:hint="eastAsia"/>
                  </w:rPr>
                  <w:t xml:space="preserve"> 页</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98" o:spid="_x0000_s2098" o:spt="202" type="#_x0000_t202" style="position:absolute;left:0pt;margin-top:0pt;height:144pt;width:144pt;mso-position-horizontal:center;mso-position-horizontal-relative:margin;mso-wrap-style:none;z-index:25169203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86</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kern w:val="0"/>
        <w:sz w:val="18"/>
        <w:szCs w:val="18"/>
      </w:rPr>
    </w:pPr>
    <w:r>
      <w:rPr>
        <w:sz w:val="18"/>
      </w:rPr>
      <w:pict>
        <v:shape id="_x0000_s2099" o:spid="_x0000_s2099" o:spt="202" type="#_x0000_t202" style="position:absolute;left:0pt;margin-top:0pt;height:144pt;width:144pt;mso-position-horizontal:center;mso-position-horizontal-relative:margin;mso-wrap-style:none;z-index:25169305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87</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r>
      <w:rPr>
        <w:sz w:val="18"/>
      </w:rPr>
      <w:pict>
        <v:shape id="_x0000_s2072" o:spid="_x0000_s2072"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rPr>
                    <w:rFonts w:ascii="Tahoma" w:hAnsi="Tahoma"/>
                    <w:sz w:val="24"/>
                    <w:szCs w:val="20"/>
                    <w:lang w:val="en-US"/>
                  </w:rPr>
                  <w:t>1</w:t>
                </w:r>
                <w:r>
                  <w:rPr>
                    <w:rFonts w:ascii="Tahoma" w:hAnsi="Tahoma"/>
                    <w:sz w:val="24"/>
                    <w:szCs w:val="20"/>
                    <w:lang w:val="en-US"/>
                  </w:rPr>
                  <w:fldChar w:fldCharType="end"/>
                </w:r>
                <w:r>
                  <w:rPr>
                    <w:rFonts w:hint="eastAsia"/>
                  </w:rPr>
                  <w:t xml:space="preserve"> 页 共 </w:t>
                </w:r>
                <w:r>
                  <w:fldChar w:fldCharType="begin"/>
                </w:r>
                <w:r>
                  <w:instrText xml:space="preserve"> NUMPAGES  \* MERGEFORMAT </w:instrText>
                </w:r>
                <w:r>
                  <w:fldChar w:fldCharType="separate"/>
                </w:r>
                <w:r>
                  <w:rPr>
                    <w:rFonts w:ascii="Tahoma" w:hAnsi="Tahoma"/>
                    <w:sz w:val="24"/>
                    <w:szCs w:val="20"/>
                    <w:lang w:val="en-US"/>
                  </w:rPr>
                  <w:t>110</w:t>
                </w:r>
                <w:r>
                  <w:rPr>
                    <w:rFonts w:ascii="Tahoma" w:hAnsi="Tahoma"/>
                    <w:sz w:val="24"/>
                    <w:szCs w:val="20"/>
                    <w:lang w:val="en-US"/>
                  </w:rPr>
                  <w:fldChar w:fldCharType="end"/>
                </w:r>
                <w:r>
                  <w:rPr>
                    <w:rFonts w:hint="eastAsia"/>
                  </w:rPr>
                  <w:t xml:space="preserve"> 页</w:t>
                </w:r>
              </w:p>
            </w:txbxContent>
          </v:textbox>
        </v:shape>
      </w:pict>
    </w:r>
    <w:r>
      <w:rPr>
        <w:rFonts w:hint="eastAsia"/>
        <w:kern w:val="0"/>
        <w:sz w:val="18"/>
        <w:szCs w:val="21"/>
      </w:rPr>
      <w:t>第 85 页 共89页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84" o:spid="_x0000_s2084"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100" o:spid="_x0000_s2100" o:spt="202" type="#_x0000_t202" style="position:absolute;left:0pt;margin-top:0pt;height:144pt;width:144pt;mso-position-horizontal:center;mso-position-horizontal-relative:margin;mso-wrap-style:none;z-index:25169408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88</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pict>
        <v:shape id="_x0000_s2101" o:spid="_x0000_s2101" o:spt="202" type="#_x0000_t202" style="position:absolute;left:0pt;margin-top:0pt;height:144pt;width:144pt;mso-position-horizontal:center;mso-position-horizontal-relative:margin;mso-wrap-style:none;z-index:25169510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89</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pict>
        <v:shape id="_x0000_s2102" o:spid="_x0000_s2102" o:spt="202" type="#_x0000_t202" style="position:absolute;left:0pt;margin-top:0pt;height:144pt;width:144pt;mso-position-horizontal:center;mso-position-horizontal-relative:margin;mso-wrap-style:none;z-index:25169612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92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pict>
        <v:shape id="_x0000_s2085" o:spid="_x0000_s2085"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r>
      <w:rPr>
        <w:sz w:val="18"/>
      </w:rPr>
      <w:pict>
        <v:shape id="_x0000_s2086" o:spid="_x0000_s2086"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44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87" o:spid="_x0000_s2087"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389"/>
        <w:tab w:val="center" w:pos="4216"/>
      </w:tabs>
      <w:jc w:val="left"/>
      <w:rPr>
        <w:sz w:val="18"/>
        <w:szCs w:val="18"/>
      </w:rPr>
    </w:pPr>
    <w:r>
      <w:rPr>
        <w:sz w:val="18"/>
      </w:rPr>
      <w:pict>
        <v:shape id="_x0000_s2088" o:spid="_x0000_s2088"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69</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r>
      <w:rPr>
        <w:rFonts w:hint="eastAsia"/>
        <w:sz w:val="18"/>
      </w:rPr>
      <w:tab/>
    </w:r>
    <w:r>
      <w:rPr>
        <w:rFonts w:hint="eastAsia"/>
        <w:kern w:val="0"/>
        <w:sz w:val="18"/>
        <w:szCs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89" o:spid="_x0000_s2089"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0" o:spid="_x0000_s2090" o:spt="202" type="#_x0000_t202" style="position:absolute;left:0pt;margin-top:0pt;height:144pt;width:144pt;mso-position-horizontal:center;mso-position-horizontal-relative:margin;mso-wrap-style:none;z-index:25168384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70</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rPr>
        <w:rFonts w:ascii="宋体" w:hAnsi="宋体"/>
        <w:spacing w:val="2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A98716"/>
    <w:multiLevelType w:val="singleLevel"/>
    <w:tmpl w:val="94A98716"/>
    <w:lvl w:ilvl="0" w:tentative="0">
      <w:start w:val="1"/>
      <w:numFmt w:val="decimal"/>
      <w:suff w:val="space"/>
      <w:lvlText w:val="（%1）"/>
      <w:lvlJc w:val="left"/>
    </w:lvl>
  </w:abstractNum>
  <w:abstractNum w:abstractNumId="1">
    <w:nsid w:val="155B6DC5"/>
    <w:multiLevelType w:val="multilevel"/>
    <w:tmpl w:val="155B6D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6514434"/>
    <w:multiLevelType w:val="multilevel"/>
    <w:tmpl w:val="1651443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6E66BC"/>
    <w:multiLevelType w:val="multilevel"/>
    <w:tmpl w:val="1C6E66B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CE53755"/>
    <w:multiLevelType w:val="multilevel"/>
    <w:tmpl w:val="1CE53755"/>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eastAsia="宋体"/>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2281069"/>
    <w:multiLevelType w:val="multilevel"/>
    <w:tmpl w:val="2228106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98E7873"/>
    <w:multiLevelType w:val="multilevel"/>
    <w:tmpl w:val="298E787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FAF7742"/>
    <w:multiLevelType w:val="multilevel"/>
    <w:tmpl w:val="2FAF7742"/>
    <w:lvl w:ilvl="0" w:tentative="0">
      <w:start w:val="1"/>
      <w:numFmt w:val="decimal"/>
      <w:lvlText w:val="（%1）"/>
      <w:lvlJc w:val="left"/>
      <w:pPr>
        <w:tabs>
          <w:tab w:val="left" w:pos="2700"/>
        </w:tabs>
        <w:ind w:left="2700" w:hanging="420"/>
      </w:pPr>
      <w:rPr>
        <w:rFonts w:hint="default"/>
      </w:rPr>
    </w:lvl>
    <w:lvl w:ilvl="1" w:tentative="0">
      <w:start w:val="1"/>
      <w:numFmt w:val="lowerLetter"/>
      <w:lvlText w:val="%2)"/>
      <w:lvlJc w:val="left"/>
      <w:pPr>
        <w:tabs>
          <w:tab w:val="left" w:pos="2700"/>
        </w:tabs>
        <w:ind w:left="2700" w:hanging="420"/>
      </w:pPr>
    </w:lvl>
    <w:lvl w:ilvl="2" w:tentative="0">
      <w:start w:val="1"/>
      <w:numFmt w:val="lowerRoman"/>
      <w:lvlText w:val="%3."/>
      <w:lvlJc w:val="right"/>
      <w:pPr>
        <w:tabs>
          <w:tab w:val="left" w:pos="3120"/>
        </w:tabs>
        <w:ind w:left="3120" w:hanging="420"/>
      </w:pPr>
    </w:lvl>
    <w:lvl w:ilvl="3" w:tentative="0">
      <w:start w:val="1"/>
      <w:numFmt w:val="decimal"/>
      <w:lvlText w:val="%4."/>
      <w:lvlJc w:val="left"/>
      <w:pPr>
        <w:tabs>
          <w:tab w:val="left" w:pos="3540"/>
        </w:tabs>
        <w:ind w:left="3540" w:hanging="420"/>
      </w:pPr>
    </w:lvl>
    <w:lvl w:ilvl="4" w:tentative="0">
      <w:start w:val="1"/>
      <w:numFmt w:val="lowerLetter"/>
      <w:lvlText w:val="%5)"/>
      <w:lvlJc w:val="left"/>
      <w:pPr>
        <w:tabs>
          <w:tab w:val="left" w:pos="3960"/>
        </w:tabs>
        <w:ind w:left="3960" w:hanging="420"/>
      </w:pPr>
    </w:lvl>
    <w:lvl w:ilvl="5" w:tentative="0">
      <w:start w:val="1"/>
      <w:numFmt w:val="lowerRoman"/>
      <w:lvlText w:val="%6."/>
      <w:lvlJc w:val="right"/>
      <w:pPr>
        <w:tabs>
          <w:tab w:val="left" w:pos="4380"/>
        </w:tabs>
        <w:ind w:left="4380" w:hanging="420"/>
      </w:pPr>
    </w:lvl>
    <w:lvl w:ilvl="6" w:tentative="0">
      <w:start w:val="1"/>
      <w:numFmt w:val="decimal"/>
      <w:lvlText w:val="%7."/>
      <w:lvlJc w:val="left"/>
      <w:pPr>
        <w:tabs>
          <w:tab w:val="left" w:pos="4800"/>
        </w:tabs>
        <w:ind w:left="4800" w:hanging="420"/>
      </w:pPr>
    </w:lvl>
    <w:lvl w:ilvl="7" w:tentative="0">
      <w:start w:val="1"/>
      <w:numFmt w:val="lowerLetter"/>
      <w:lvlText w:val="%8)"/>
      <w:lvlJc w:val="left"/>
      <w:pPr>
        <w:tabs>
          <w:tab w:val="left" w:pos="5220"/>
        </w:tabs>
        <w:ind w:left="5220" w:hanging="420"/>
      </w:pPr>
    </w:lvl>
    <w:lvl w:ilvl="8" w:tentative="0">
      <w:start w:val="1"/>
      <w:numFmt w:val="lowerRoman"/>
      <w:lvlText w:val="%9."/>
      <w:lvlJc w:val="right"/>
      <w:pPr>
        <w:tabs>
          <w:tab w:val="left" w:pos="5640"/>
        </w:tabs>
        <w:ind w:left="5640" w:hanging="420"/>
      </w:pPr>
    </w:lvl>
  </w:abstractNum>
  <w:abstractNum w:abstractNumId="8">
    <w:nsid w:val="32EF482B"/>
    <w:multiLevelType w:val="multilevel"/>
    <w:tmpl w:val="32EF482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hint="eastAsia" w:ascii="宋体"/>
        <w:color w:val="auto"/>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7DCC5D70"/>
    <w:multiLevelType w:val="multilevel"/>
    <w:tmpl w:val="7DCC5D7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2"/>
  </w:num>
  <w:num w:numId="4">
    <w:abstractNumId w:val="8"/>
  </w:num>
  <w:num w:numId="5">
    <w:abstractNumId w:val="10"/>
  </w:num>
  <w:num w:numId="6">
    <w:abstractNumId w:val="3"/>
  </w:num>
  <w:num w:numId="7">
    <w:abstractNumId w:val="6"/>
  </w:num>
  <w:num w:numId="8">
    <w:abstractNumId w:val="5"/>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doNotTrackMoves/>
  <w:attachedTemplate r:id="rId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16E3"/>
    <w:rsid w:val="00017ED0"/>
    <w:rsid w:val="00026C30"/>
    <w:rsid w:val="0003015A"/>
    <w:rsid w:val="00040189"/>
    <w:rsid w:val="00041453"/>
    <w:rsid w:val="0005014B"/>
    <w:rsid w:val="00051D82"/>
    <w:rsid w:val="0006153C"/>
    <w:rsid w:val="00075CD4"/>
    <w:rsid w:val="000768DB"/>
    <w:rsid w:val="000860A4"/>
    <w:rsid w:val="0009534E"/>
    <w:rsid w:val="00096994"/>
    <w:rsid w:val="000A5D80"/>
    <w:rsid w:val="000B7955"/>
    <w:rsid w:val="000C18BE"/>
    <w:rsid w:val="000C4717"/>
    <w:rsid w:val="000C5FBA"/>
    <w:rsid w:val="000E5DC3"/>
    <w:rsid w:val="000F4FBA"/>
    <w:rsid w:val="000F502C"/>
    <w:rsid w:val="0010639A"/>
    <w:rsid w:val="00106FE7"/>
    <w:rsid w:val="00113F1A"/>
    <w:rsid w:val="0012210C"/>
    <w:rsid w:val="00123672"/>
    <w:rsid w:val="00130750"/>
    <w:rsid w:val="00132DBD"/>
    <w:rsid w:val="0013664B"/>
    <w:rsid w:val="00145CE9"/>
    <w:rsid w:val="001522CF"/>
    <w:rsid w:val="00165272"/>
    <w:rsid w:val="00165C1E"/>
    <w:rsid w:val="00172223"/>
    <w:rsid w:val="00172A27"/>
    <w:rsid w:val="00173A6E"/>
    <w:rsid w:val="00173D63"/>
    <w:rsid w:val="0017668B"/>
    <w:rsid w:val="00180F34"/>
    <w:rsid w:val="00187990"/>
    <w:rsid w:val="001A6B3D"/>
    <w:rsid w:val="001A6E48"/>
    <w:rsid w:val="001A777A"/>
    <w:rsid w:val="001B03A0"/>
    <w:rsid w:val="001B1869"/>
    <w:rsid w:val="001B6DC9"/>
    <w:rsid w:val="001B7648"/>
    <w:rsid w:val="001C37D1"/>
    <w:rsid w:val="001C48AB"/>
    <w:rsid w:val="001D4C88"/>
    <w:rsid w:val="001D684E"/>
    <w:rsid w:val="001D7850"/>
    <w:rsid w:val="001D7CEB"/>
    <w:rsid w:val="001E0DAF"/>
    <w:rsid w:val="001E3C80"/>
    <w:rsid w:val="001E740A"/>
    <w:rsid w:val="001F1FEC"/>
    <w:rsid w:val="001F61EC"/>
    <w:rsid w:val="002056CC"/>
    <w:rsid w:val="00216128"/>
    <w:rsid w:val="00220B6B"/>
    <w:rsid w:val="00222A8F"/>
    <w:rsid w:val="00227466"/>
    <w:rsid w:val="00231FD7"/>
    <w:rsid w:val="00241E73"/>
    <w:rsid w:val="0024339A"/>
    <w:rsid w:val="00245896"/>
    <w:rsid w:val="00250CEA"/>
    <w:rsid w:val="00252B83"/>
    <w:rsid w:val="00257F36"/>
    <w:rsid w:val="002652D1"/>
    <w:rsid w:val="002809E4"/>
    <w:rsid w:val="00282039"/>
    <w:rsid w:val="00282264"/>
    <w:rsid w:val="002847F0"/>
    <w:rsid w:val="002877F3"/>
    <w:rsid w:val="00293D22"/>
    <w:rsid w:val="002C1B8A"/>
    <w:rsid w:val="002D64AD"/>
    <w:rsid w:val="002E7E9C"/>
    <w:rsid w:val="002F408B"/>
    <w:rsid w:val="0032522A"/>
    <w:rsid w:val="00330F88"/>
    <w:rsid w:val="00344B90"/>
    <w:rsid w:val="00346FD0"/>
    <w:rsid w:val="003602DA"/>
    <w:rsid w:val="00364AE4"/>
    <w:rsid w:val="0037258A"/>
    <w:rsid w:val="0037739F"/>
    <w:rsid w:val="0037772C"/>
    <w:rsid w:val="00381589"/>
    <w:rsid w:val="00384454"/>
    <w:rsid w:val="003861E7"/>
    <w:rsid w:val="0039440C"/>
    <w:rsid w:val="003979CB"/>
    <w:rsid w:val="003A3233"/>
    <w:rsid w:val="003B2BA7"/>
    <w:rsid w:val="003C0DDF"/>
    <w:rsid w:val="003C0F0E"/>
    <w:rsid w:val="003C1DCC"/>
    <w:rsid w:val="003E1B14"/>
    <w:rsid w:val="003F2C13"/>
    <w:rsid w:val="003F2D7E"/>
    <w:rsid w:val="003F421F"/>
    <w:rsid w:val="003F48D5"/>
    <w:rsid w:val="003F7210"/>
    <w:rsid w:val="004048E6"/>
    <w:rsid w:val="0041481C"/>
    <w:rsid w:val="00422AD6"/>
    <w:rsid w:val="0042437F"/>
    <w:rsid w:val="0043358C"/>
    <w:rsid w:val="00436454"/>
    <w:rsid w:val="0044176B"/>
    <w:rsid w:val="004441F4"/>
    <w:rsid w:val="0044421E"/>
    <w:rsid w:val="00451483"/>
    <w:rsid w:val="00452CAD"/>
    <w:rsid w:val="00456877"/>
    <w:rsid w:val="00457D84"/>
    <w:rsid w:val="004639CB"/>
    <w:rsid w:val="00471AF2"/>
    <w:rsid w:val="00474600"/>
    <w:rsid w:val="00483661"/>
    <w:rsid w:val="004A12BF"/>
    <w:rsid w:val="004A4B63"/>
    <w:rsid w:val="004B797B"/>
    <w:rsid w:val="004D1F75"/>
    <w:rsid w:val="004E1B08"/>
    <w:rsid w:val="0050003D"/>
    <w:rsid w:val="00501544"/>
    <w:rsid w:val="00506F4A"/>
    <w:rsid w:val="00507D13"/>
    <w:rsid w:val="00534254"/>
    <w:rsid w:val="005437BE"/>
    <w:rsid w:val="00546064"/>
    <w:rsid w:val="00546DC4"/>
    <w:rsid w:val="00547E1B"/>
    <w:rsid w:val="00567BCF"/>
    <w:rsid w:val="00572C90"/>
    <w:rsid w:val="0057325C"/>
    <w:rsid w:val="00582C6F"/>
    <w:rsid w:val="00595455"/>
    <w:rsid w:val="005A0836"/>
    <w:rsid w:val="005A3087"/>
    <w:rsid w:val="005A59AA"/>
    <w:rsid w:val="005B0554"/>
    <w:rsid w:val="005B1058"/>
    <w:rsid w:val="005B3CAC"/>
    <w:rsid w:val="005C48BC"/>
    <w:rsid w:val="005C5820"/>
    <w:rsid w:val="005D1941"/>
    <w:rsid w:val="005D270C"/>
    <w:rsid w:val="005E1C90"/>
    <w:rsid w:val="005E6CF9"/>
    <w:rsid w:val="005F00B8"/>
    <w:rsid w:val="005F01DD"/>
    <w:rsid w:val="005F21C9"/>
    <w:rsid w:val="006017BE"/>
    <w:rsid w:val="00602F56"/>
    <w:rsid w:val="0060326D"/>
    <w:rsid w:val="006073F0"/>
    <w:rsid w:val="00610533"/>
    <w:rsid w:val="00616F78"/>
    <w:rsid w:val="00620CD0"/>
    <w:rsid w:val="00620E6B"/>
    <w:rsid w:val="0062634D"/>
    <w:rsid w:val="006316DD"/>
    <w:rsid w:val="0063385C"/>
    <w:rsid w:val="00636A52"/>
    <w:rsid w:val="00646ACA"/>
    <w:rsid w:val="00647B08"/>
    <w:rsid w:val="00664389"/>
    <w:rsid w:val="00667365"/>
    <w:rsid w:val="006735E4"/>
    <w:rsid w:val="00676BFF"/>
    <w:rsid w:val="00681943"/>
    <w:rsid w:val="00683EF8"/>
    <w:rsid w:val="00690A00"/>
    <w:rsid w:val="0069777B"/>
    <w:rsid w:val="006A1ACB"/>
    <w:rsid w:val="006B13DE"/>
    <w:rsid w:val="006C00CA"/>
    <w:rsid w:val="006E395E"/>
    <w:rsid w:val="006E4507"/>
    <w:rsid w:val="006F3386"/>
    <w:rsid w:val="0070053C"/>
    <w:rsid w:val="007062CF"/>
    <w:rsid w:val="00717691"/>
    <w:rsid w:val="007257C7"/>
    <w:rsid w:val="007315E8"/>
    <w:rsid w:val="00734AB0"/>
    <w:rsid w:val="00740105"/>
    <w:rsid w:val="00750BF8"/>
    <w:rsid w:val="00750D19"/>
    <w:rsid w:val="00751281"/>
    <w:rsid w:val="007658C5"/>
    <w:rsid w:val="00766F44"/>
    <w:rsid w:val="00767230"/>
    <w:rsid w:val="00772870"/>
    <w:rsid w:val="007738E7"/>
    <w:rsid w:val="007815EE"/>
    <w:rsid w:val="00786DD7"/>
    <w:rsid w:val="00790B5F"/>
    <w:rsid w:val="0079290C"/>
    <w:rsid w:val="0079434F"/>
    <w:rsid w:val="007A0105"/>
    <w:rsid w:val="007B4BCC"/>
    <w:rsid w:val="007B7D81"/>
    <w:rsid w:val="007C09DC"/>
    <w:rsid w:val="007C2A70"/>
    <w:rsid w:val="007D2E28"/>
    <w:rsid w:val="007D6350"/>
    <w:rsid w:val="007D6CA0"/>
    <w:rsid w:val="007E1FA2"/>
    <w:rsid w:val="007E229C"/>
    <w:rsid w:val="007F2F71"/>
    <w:rsid w:val="007F375A"/>
    <w:rsid w:val="007F755B"/>
    <w:rsid w:val="00802FE6"/>
    <w:rsid w:val="00806FF5"/>
    <w:rsid w:val="008075B6"/>
    <w:rsid w:val="00814222"/>
    <w:rsid w:val="00815336"/>
    <w:rsid w:val="0081615E"/>
    <w:rsid w:val="00817E25"/>
    <w:rsid w:val="0082097A"/>
    <w:rsid w:val="00823D55"/>
    <w:rsid w:val="0083038D"/>
    <w:rsid w:val="008371D2"/>
    <w:rsid w:val="008432E4"/>
    <w:rsid w:val="00860317"/>
    <w:rsid w:val="008609E7"/>
    <w:rsid w:val="0086551A"/>
    <w:rsid w:val="00866D5C"/>
    <w:rsid w:val="00867921"/>
    <w:rsid w:val="0087053B"/>
    <w:rsid w:val="00871333"/>
    <w:rsid w:val="00873C48"/>
    <w:rsid w:val="00886997"/>
    <w:rsid w:val="0088791D"/>
    <w:rsid w:val="00896C4C"/>
    <w:rsid w:val="00896E4F"/>
    <w:rsid w:val="008A0AC9"/>
    <w:rsid w:val="008A3FEC"/>
    <w:rsid w:val="008B2535"/>
    <w:rsid w:val="008B75A0"/>
    <w:rsid w:val="008C462F"/>
    <w:rsid w:val="008C66AC"/>
    <w:rsid w:val="008D3C4C"/>
    <w:rsid w:val="008D6F80"/>
    <w:rsid w:val="008E06E5"/>
    <w:rsid w:val="008F4225"/>
    <w:rsid w:val="008F6FA6"/>
    <w:rsid w:val="00933449"/>
    <w:rsid w:val="00937F77"/>
    <w:rsid w:val="00944505"/>
    <w:rsid w:val="00955D7F"/>
    <w:rsid w:val="009606EC"/>
    <w:rsid w:val="00963C13"/>
    <w:rsid w:val="00975AA0"/>
    <w:rsid w:val="00977ABD"/>
    <w:rsid w:val="00981975"/>
    <w:rsid w:val="00983049"/>
    <w:rsid w:val="009849C1"/>
    <w:rsid w:val="009869BD"/>
    <w:rsid w:val="00990A61"/>
    <w:rsid w:val="00994D89"/>
    <w:rsid w:val="009A1AB3"/>
    <w:rsid w:val="009A1D32"/>
    <w:rsid w:val="009B6F33"/>
    <w:rsid w:val="009C423C"/>
    <w:rsid w:val="009D50CC"/>
    <w:rsid w:val="009D7A1B"/>
    <w:rsid w:val="009E66E9"/>
    <w:rsid w:val="009E697E"/>
    <w:rsid w:val="009F129A"/>
    <w:rsid w:val="009F4034"/>
    <w:rsid w:val="009F747A"/>
    <w:rsid w:val="00A064BF"/>
    <w:rsid w:val="00A10292"/>
    <w:rsid w:val="00A110CA"/>
    <w:rsid w:val="00A14EBB"/>
    <w:rsid w:val="00A16254"/>
    <w:rsid w:val="00A167AB"/>
    <w:rsid w:val="00A2144A"/>
    <w:rsid w:val="00A2197A"/>
    <w:rsid w:val="00A34712"/>
    <w:rsid w:val="00A46468"/>
    <w:rsid w:val="00A54572"/>
    <w:rsid w:val="00A67BA1"/>
    <w:rsid w:val="00A92667"/>
    <w:rsid w:val="00A939A1"/>
    <w:rsid w:val="00AA32EA"/>
    <w:rsid w:val="00AA642B"/>
    <w:rsid w:val="00AC7D55"/>
    <w:rsid w:val="00AD5D17"/>
    <w:rsid w:val="00AD63C4"/>
    <w:rsid w:val="00AE058B"/>
    <w:rsid w:val="00AE0A49"/>
    <w:rsid w:val="00AE6FB4"/>
    <w:rsid w:val="00B10D3F"/>
    <w:rsid w:val="00B13E54"/>
    <w:rsid w:val="00B14BD8"/>
    <w:rsid w:val="00B200EB"/>
    <w:rsid w:val="00B26A26"/>
    <w:rsid w:val="00B34ACF"/>
    <w:rsid w:val="00B3764A"/>
    <w:rsid w:val="00B46490"/>
    <w:rsid w:val="00B46B7D"/>
    <w:rsid w:val="00B47632"/>
    <w:rsid w:val="00B553A1"/>
    <w:rsid w:val="00B6216A"/>
    <w:rsid w:val="00B71246"/>
    <w:rsid w:val="00B72A43"/>
    <w:rsid w:val="00B8148B"/>
    <w:rsid w:val="00B879D9"/>
    <w:rsid w:val="00B951AC"/>
    <w:rsid w:val="00B96D94"/>
    <w:rsid w:val="00B97C50"/>
    <w:rsid w:val="00BA7036"/>
    <w:rsid w:val="00BB517D"/>
    <w:rsid w:val="00BB634C"/>
    <w:rsid w:val="00BC34FF"/>
    <w:rsid w:val="00BC44D3"/>
    <w:rsid w:val="00BD22E2"/>
    <w:rsid w:val="00BD3EF9"/>
    <w:rsid w:val="00BF68A9"/>
    <w:rsid w:val="00C029E7"/>
    <w:rsid w:val="00C0477A"/>
    <w:rsid w:val="00C04B3F"/>
    <w:rsid w:val="00C07BCE"/>
    <w:rsid w:val="00C12E45"/>
    <w:rsid w:val="00C147B3"/>
    <w:rsid w:val="00C26FB8"/>
    <w:rsid w:val="00C30115"/>
    <w:rsid w:val="00C33D57"/>
    <w:rsid w:val="00C43533"/>
    <w:rsid w:val="00C43F6E"/>
    <w:rsid w:val="00C454F2"/>
    <w:rsid w:val="00C473F8"/>
    <w:rsid w:val="00C52666"/>
    <w:rsid w:val="00C52FF7"/>
    <w:rsid w:val="00C56D8E"/>
    <w:rsid w:val="00C70E7F"/>
    <w:rsid w:val="00C74D8E"/>
    <w:rsid w:val="00C774A2"/>
    <w:rsid w:val="00C82EB4"/>
    <w:rsid w:val="00C87CC0"/>
    <w:rsid w:val="00C976C3"/>
    <w:rsid w:val="00CB26E5"/>
    <w:rsid w:val="00CB4771"/>
    <w:rsid w:val="00CC46E4"/>
    <w:rsid w:val="00CC795D"/>
    <w:rsid w:val="00CD56F7"/>
    <w:rsid w:val="00CE7543"/>
    <w:rsid w:val="00CF2383"/>
    <w:rsid w:val="00CF4361"/>
    <w:rsid w:val="00D0480D"/>
    <w:rsid w:val="00D05E81"/>
    <w:rsid w:val="00D1026D"/>
    <w:rsid w:val="00D22265"/>
    <w:rsid w:val="00D22554"/>
    <w:rsid w:val="00D27D0F"/>
    <w:rsid w:val="00D34EB3"/>
    <w:rsid w:val="00D36374"/>
    <w:rsid w:val="00D5479E"/>
    <w:rsid w:val="00D549B7"/>
    <w:rsid w:val="00D61324"/>
    <w:rsid w:val="00D62766"/>
    <w:rsid w:val="00D6356E"/>
    <w:rsid w:val="00D70903"/>
    <w:rsid w:val="00D81A57"/>
    <w:rsid w:val="00D81FE1"/>
    <w:rsid w:val="00D843B5"/>
    <w:rsid w:val="00D911E3"/>
    <w:rsid w:val="00D92D1A"/>
    <w:rsid w:val="00DA558F"/>
    <w:rsid w:val="00DA6A20"/>
    <w:rsid w:val="00DB5558"/>
    <w:rsid w:val="00DD539D"/>
    <w:rsid w:val="00DD682D"/>
    <w:rsid w:val="00DE3044"/>
    <w:rsid w:val="00DF125F"/>
    <w:rsid w:val="00DF319C"/>
    <w:rsid w:val="00E04A9D"/>
    <w:rsid w:val="00E05FA7"/>
    <w:rsid w:val="00E178CE"/>
    <w:rsid w:val="00E266EA"/>
    <w:rsid w:val="00E27A7C"/>
    <w:rsid w:val="00E27ACB"/>
    <w:rsid w:val="00E31230"/>
    <w:rsid w:val="00E34874"/>
    <w:rsid w:val="00E45B9D"/>
    <w:rsid w:val="00E46186"/>
    <w:rsid w:val="00E535E0"/>
    <w:rsid w:val="00E70616"/>
    <w:rsid w:val="00E71DDD"/>
    <w:rsid w:val="00E8439C"/>
    <w:rsid w:val="00E8704A"/>
    <w:rsid w:val="00E900CE"/>
    <w:rsid w:val="00E9143C"/>
    <w:rsid w:val="00EA034A"/>
    <w:rsid w:val="00EB19DF"/>
    <w:rsid w:val="00EB4DA4"/>
    <w:rsid w:val="00EB7A82"/>
    <w:rsid w:val="00EC252E"/>
    <w:rsid w:val="00EC751C"/>
    <w:rsid w:val="00ED0993"/>
    <w:rsid w:val="00ED2C54"/>
    <w:rsid w:val="00ED7D1F"/>
    <w:rsid w:val="00EE3C1E"/>
    <w:rsid w:val="00EE47B0"/>
    <w:rsid w:val="00EF71EE"/>
    <w:rsid w:val="00F013A0"/>
    <w:rsid w:val="00F05421"/>
    <w:rsid w:val="00F06D3B"/>
    <w:rsid w:val="00F07EF5"/>
    <w:rsid w:val="00F16A31"/>
    <w:rsid w:val="00F20F07"/>
    <w:rsid w:val="00F2280B"/>
    <w:rsid w:val="00F23754"/>
    <w:rsid w:val="00F30314"/>
    <w:rsid w:val="00F30378"/>
    <w:rsid w:val="00F30B10"/>
    <w:rsid w:val="00F33617"/>
    <w:rsid w:val="00F33AD6"/>
    <w:rsid w:val="00F36481"/>
    <w:rsid w:val="00F372E2"/>
    <w:rsid w:val="00F43571"/>
    <w:rsid w:val="00F45D22"/>
    <w:rsid w:val="00F467F7"/>
    <w:rsid w:val="00F478F9"/>
    <w:rsid w:val="00F550D1"/>
    <w:rsid w:val="00F57D0C"/>
    <w:rsid w:val="00F60978"/>
    <w:rsid w:val="00F67081"/>
    <w:rsid w:val="00F67454"/>
    <w:rsid w:val="00F722B9"/>
    <w:rsid w:val="00F778B0"/>
    <w:rsid w:val="00F80A56"/>
    <w:rsid w:val="00F8655F"/>
    <w:rsid w:val="00F86CF2"/>
    <w:rsid w:val="00FB07D4"/>
    <w:rsid w:val="00FB1021"/>
    <w:rsid w:val="00FD32B3"/>
    <w:rsid w:val="00FD53E3"/>
    <w:rsid w:val="00FD5BB7"/>
    <w:rsid w:val="00FE2BB8"/>
    <w:rsid w:val="00FE37C5"/>
    <w:rsid w:val="00FF0A23"/>
    <w:rsid w:val="00FF62A5"/>
    <w:rsid w:val="00FF723B"/>
    <w:rsid w:val="00FF7776"/>
    <w:rsid w:val="01D519DC"/>
    <w:rsid w:val="0313095B"/>
    <w:rsid w:val="0462676E"/>
    <w:rsid w:val="068C13F0"/>
    <w:rsid w:val="088A0824"/>
    <w:rsid w:val="09AC3B18"/>
    <w:rsid w:val="0BEB7529"/>
    <w:rsid w:val="0C570EB1"/>
    <w:rsid w:val="0C8B00F1"/>
    <w:rsid w:val="0EF60BCB"/>
    <w:rsid w:val="0F161EF1"/>
    <w:rsid w:val="0F4212A8"/>
    <w:rsid w:val="102B3D4A"/>
    <w:rsid w:val="130F4961"/>
    <w:rsid w:val="13275F69"/>
    <w:rsid w:val="15EC08F6"/>
    <w:rsid w:val="18993014"/>
    <w:rsid w:val="19567602"/>
    <w:rsid w:val="1A641F86"/>
    <w:rsid w:val="1B8A4FBA"/>
    <w:rsid w:val="1CB51776"/>
    <w:rsid w:val="202E3EF0"/>
    <w:rsid w:val="219664C7"/>
    <w:rsid w:val="22061277"/>
    <w:rsid w:val="239D6ACD"/>
    <w:rsid w:val="23ED54E5"/>
    <w:rsid w:val="25260E48"/>
    <w:rsid w:val="26E242E1"/>
    <w:rsid w:val="29E52EDA"/>
    <w:rsid w:val="2BCA011A"/>
    <w:rsid w:val="2E492A23"/>
    <w:rsid w:val="2F6758FC"/>
    <w:rsid w:val="30491396"/>
    <w:rsid w:val="339F01AB"/>
    <w:rsid w:val="33F2055F"/>
    <w:rsid w:val="36DA79B7"/>
    <w:rsid w:val="37B65C42"/>
    <w:rsid w:val="38810FEC"/>
    <w:rsid w:val="3C983224"/>
    <w:rsid w:val="3DD47597"/>
    <w:rsid w:val="405E6FD1"/>
    <w:rsid w:val="40BC76A2"/>
    <w:rsid w:val="41EE1689"/>
    <w:rsid w:val="42BD7D73"/>
    <w:rsid w:val="4703211C"/>
    <w:rsid w:val="47540791"/>
    <w:rsid w:val="483165C5"/>
    <w:rsid w:val="49F34622"/>
    <w:rsid w:val="4A85465F"/>
    <w:rsid w:val="4AD92FB9"/>
    <w:rsid w:val="4CF410E7"/>
    <w:rsid w:val="4F5D307A"/>
    <w:rsid w:val="52FD3933"/>
    <w:rsid w:val="532B6A10"/>
    <w:rsid w:val="54B72038"/>
    <w:rsid w:val="54D823A2"/>
    <w:rsid w:val="56536139"/>
    <w:rsid w:val="566003E1"/>
    <w:rsid w:val="569C3D85"/>
    <w:rsid w:val="56E57B92"/>
    <w:rsid w:val="584419AA"/>
    <w:rsid w:val="5AFE79B9"/>
    <w:rsid w:val="5D5E3A3B"/>
    <w:rsid w:val="5F7A5E21"/>
    <w:rsid w:val="621F263A"/>
    <w:rsid w:val="62FC3299"/>
    <w:rsid w:val="64191E8E"/>
    <w:rsid w:val="64CF6219"/>
    <w:rsid w:val="668446EF"/>
    <w:rsid w:val="675B24DA"/>
    <w:rsid w:val="67AC4931"/>
    <w:rsid w:val="6C160D67"/>
    <w:rsid w:val="700E1C53"/>
    <w:rsid w:val="715229EF"/>
    <w:rsid w:val="7A331BE7"/>
    <w:rsid w:val="7AF426B2"/>
    <w:rsid w:val="7BFF46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3"/>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30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1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197"/>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5"/>
    <w:basedOn w:val="1"/>
    <w:next w:val="1"/>
    <w:link w:val="95"/>
    <w:qFormat/>
    <w:uiPriority w:val="0"/>
    <w:pPr>
      <w:keepNext/>
      <w:keepLines/>
      <w:spacing w:before="280" w:after="290" w:line="372" w:lineRule="auto"/>
      <w:outlineLvl w:val="4"/>
    </w:pPr>
    <w:rPr>
      <w:rFonts w:ascii="Calibri" w:hAnsi="Calibri"/>
      <w:b/>
      <w:bCs/>
      <w:sz w:val="28"/>
      <w:szCs w:val="28"/>
      <w:lang w:val="zh-CN"/>
    </w:rPr>
  </w:style>
  <w:style w:type="paragraph" w:styleId="7">
    <w:name w:val="heading 6"/>
    <w:basedOn w:val="1"/>
    <w:next w:val="1"/>
    <w:link w:val="272"/>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lang w:val="zh-CN"/>
    </w:rPr>
  </w:style>
  <w:style w:type="paragraph" w:styleId="8">
    <w:name w:val="heading 7"/>
    <w:basedOn w:val="1"/>
    <w:next w:val="1"/>
    <w:link w:val="200"/>
    <w:qFormat/>
    <w:uiPriority w:val="0"/>
    <w:pPr>
      <w:keepNext/>
      <w:keepLines/>
      <w:widowControl/>
      <w:tabs>
        <w:tab w:val="left" w:pos="2520"/>
      </w:tabs>
      <w:spacing w:before="240" w:after="64" w:line="320" w:lineRule="auto"/>
      <w:ind w:left="1296" w:hanging="1296"/>
      <w:jc w:val="left"/>
      <w:outlineLvl w:val="6"/>
    </w:pPr>
    <w:rPr>
      <w:b/>
      <w:bCs/>
      <w:kern w:val="0"/>
      <w:sz w:val="24"/>
      <w:lang w:val="zh-CN"/>
    </w:rPr>
  </w:style>
  <w:style w:type="paragraph" w:styleId="9">
    <w:name w:val="heading 8"/>
    <w:basedOn w:val="1"/>
    <w:next w:val="1"/>
    <w:link w:val="12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lang w:val="zh-CN"/>
    </w:rPr>
  </w:style>
  <w:style w:type="paragraph" w:styleId="10">
    <w:name w:val="heading 9"/>
    <w:basedOn w:val="1"/>
    <w:next w:val="1"/>
    <w:link w:val="19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lang w:val="zh-CN"/>
    </w:rPr>
  </w:style>
  <w:style w:type="character" w:default="1" w:styleId="76">
    <w:name w:val="Default Paragraph Font"/>
    <w:semiHidden/>
    <w:unhideWhenUsed/>
    <w:qFormat/>
    <w:uiPriority w:val="1"/>
  </w:style>
  <w:style w:type="table" w:default="1" w:styleId="92">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eastAsia="仿宋_GB2312"/>
      <w:sz w:val="32"/>
      <w:szCs w:val="20"/>
    </w:rPr>
  </w:style>
  <w:style w:type="paragraph" w:styleId="12">
    <w:name w:val="annotation subject"/>
    <w:basedOn w:val="13"/>
    <w:next w:val="13"/>
    <w:link w:val="130"/>
    <w:qFormat/>
    <w:uiPriority w:val="0"/>
    <w:rPr>
      <w:rFonts w:ascii="Times New Roman" w:hAnsi="Times New Roman"/>
      <w:b/>
      <w:bCs/>
      <w:lang w:val="zh-CN"/>
    </w:rPr>
  </w:style>
  <w:style w:type="paragraph" w:styleId="13">
    <w:name w:val="annotation text"/>
    <w:basedOn w:val="1"/>
    <w:link w:val="149"/>
    <w:qFormat/>
    <w:uiPriority w:val="0"/>
    <w:pPr>
      <w:jc w:val="left"/>
    </w:pPr>
    <w:rPr>
      <w:rFonts w:ascii="Tahoma" w:hAnsi="Tahoma"/>
    </w:rPr>
  </w:style>
  <w:style w:type="paragraph" w:styleId="14">
    <w:name w:val="toc 7"/>
    <w:basedOn w:val="1"/>
    <w:next w:val="1"/>
    <w:qFormat/>
    <w:uiPriority w:val="0"/>
    <w:pPr>
      <w:ind w:left="2520" w:leftChars="1200"/>
    </w:pPr>
  </w:style>
  <w:style w:type="paragraph" w:styleId="15">
    <w:name w:val="Body Text First Indent"/>
    <w:basedOn w:val="16"/>
    <w:link w:val="106"/>
    <w:qFormat/>
    <w:uiPriority w:val="0"/>
    <w:pPr>
      <w:ind w:firstLine="420" w:firstLineChars="100"/>
    </w:pPr>
  </w:style>
  <w:style w:type="paragraph" w:styleId="16">
    <w:name w:val="Body Text"/>
    <w:basedOn w:val="1"/>
    <w:link w:val="248"/>
    <w:qFormat/>
    <w:uiPriority w:val="0"/>
    <w:pPr>
      <w:spacing w:after="120"/>
    </w:pPr>
    <w:rPr>
      <w:lang w:val="zh-CN"/>
    </w:rPr>
  </w:style>
  <w:style w:type="paragraph" w:styleId="17">
    <w:name w:val="List Number 2"/>
    <w:basedOn w:val="1"/>
    <w:qFormat/>
    <w:uiPriority w:val="0"/>
    <w:pPr>
      <w:tabs>
        <w:tab w:val="left" w:pos="780"/>
      </w:tabs>
      <w:ind w:left="780" w:hanging="360"/>
    </w:pPr>
    <w:rPr>
      <w:rFonts w:eastAsia="仿宋_GB2312"/>
      <w:sz w:val="32"/>
      <w:szCs w:val="20"/>
    </w:rPr>
  </w:style>
  <w:style w:type="paragraph" w:styleId="18">
    <w:name w:val="table of authorities"/>
    <w:basedOn w:val="1"/>
    <w:next w:val="1"/>
    <w:qFormat/>
    <w:uiPriority w:val="0"/>
    <w:pPr>
      <w:ind w:left="420" w:leftChars="200"/>
    </w:pPr>
    <w:rPr>
      <w:szCs w:val="20"/>
    </w:rPr>
  </w:style>
  <w:style w:type="paragraph" w:styleId="19">
    <w:name w:val="Note Heading"/>
    <w:basedOn w:val="1"/>
    <w:next w:val="1"/>
    <w:link w:val="155"/>
    <w:qFormat/>
    <w:uiPriority w:val="0"/>
    <w:pPr>
      <w:jc w:val="center"/>
    </w:pPr>
    <w:rPr>
      <w:rFonts w:ascii="Tahoma" w:hAnsi="Tahoma" w:eastAsia="仿宋_GB2312"/>
      <w:sz w:val="32"/>
      <w:szCs w:val="20"/>
    </w:rPr>
  </w:style>
  <w:style w:type="paragraph" w:styleId="20">
    <w:name w:val="List Bullet 4"/>
    <w:basedOn w:val="1"/>
    <w:qFormat/>
    <w:uiPriority w:val="0"/>
    <w:pPr>
      <w:tabs>
        <w:tab w:val="left" w:pos="1620"/>
      </w:tabs>
      <w:ind w:left="1155" w:hanging="735"/>
    </w:pPr>
    <w:rPr>
      <w:rFonts w:eastAsia="仿宋_GB2312"/>
      <w:sz w:val="32"/>
      <w:szCs w:val="20"/>
    </w:rPr>
  </w:style>
  <w:style w:type="paragraph" w:styleId="21">
    <w:name w:val="E-mail Signature"/>
    <w:basedOn w:val="1"/>
    <w:link w:val="257"/>
    <w:qFormat/>
    <w:uiPriority w:val="0"/>
    <w:rPr>
      <w:rFonts w:ascii="Tahoma" w:hAnsi="Tahoma" w:eastAsia="仿宋_GB2312"/>
      <w:sz w:val="32"/>
      <w:szCs w:val="20"/>
    </w:rPr>
  </w:style>
  <w:style w:type="paragraph" w:styleId="22">
    <w:name w:val="List Number"/>
    <w:basedOn w:val="1"/>
    <w:qFormat/>
    <w:uiPriority w:val="0"/>
    <w:pPr>
      <w:tabs>
        <w:tab w:val="left" w:pos="360"/>
        <w:tab w:val="left" w:pos="420"/>
      </w:tabs>
      <w:ind w:left="420" w:hanging="420"/>
    </w:pPr>
    <w:rPr>
      <w:rFonts w:eastAsia="仿宋_GB2312"/>
      <w:sz w:val="32"/>
      <w:szCs w:val="20"/>
    </w:rPr>
  </w:style>
  <w:style w:type="paragraph" w:styleId="23">
    <w:name w:val="Normal Indent"/>
    <w:basedOn w:val="1"/>
    <w:qFormat/>
    <w:uiPriority w:val="0"/>
    <w:pPr>
      <w:ind w:firstLine="420" w:firstLineChars="200"/>
    </w:pPr>
  </w:style>
  <w:style w:type="paragraph" w:styleId="24">
    <w:name w:val="caption"/>
    <w:basedOn w:val="1"/>
    <w:next w:val="1"/>
    <w:qFormat/>
    <w:uiPriority w:val="0"/>
    <w:rPr>
      <w:rFonts w:ascii="Cambria" w:hAnsi="Cambria" w:eastAsia="黑体"/>
      <w:sz w:val="20"/>
      <w:szCs w:val="20"/>
    </w:rPr>
  </w:style>
  <w:style w:type="paragraph" w:styleId="25">
    <w:name w:val="List Bullet"/>
    <w:basedOn w:val="1"/>
    <w:qFormat/>
    <w:uiPriority w:val="0"/>
    <w:pPr>
      <w:tabs>
        <w:tab w:val="left" w:pos="360"/>
      </w:tabs>
      <w:ind w:left="360" w:hanging="200" w:hangingChars="200"/>
    </w:pPr>
    <w:rPr>
      <w:szCs w:val="20"/>
    </w:rPr>
  </w:style>
  <w:style w:type="paragraph" w:styleId="26">
    <w:name w:val="envelope address"/>
    <w:basedOn w:val="1"/>
    <w:qFormat/>
    <w:uiPriority w:val="0"/>
    <w:pPr>
      <w:snapToGrid w:val="0"/>
      <w:ind w:left="100" w:leftChars="1400"/>
    </w:pPr>
    <w:rPr>
      <w:rFonts w:ascii="Arial" w:hAnsi="Arial" w:eastAsia="仿宋_GB2312" w:cs="Arial"/>
      <w:sz w:val="24"/>
    </w:rPr>
  </w:style>
  <w:style w:type="paragraph" w:styleId="27">
    <w:name w:val="Document Map"/>
    <w:basedOn w:val="1"/>
    <w:link w:val="220"/>
    <w:qFormat/>
    <w:uiPriority w:val="0"/>
    <w:pPr>
      <w:shd w:val="clear" w:color="auto" w:fill="000080"/>
    </w:pPr>
    <w:rPr>
      <w:shd w:val="clear" w:color="auto" w:fill="000080"/>
      <w:lang w:val="zh-CN"/>
    </w:rPr>
  </w:style>
  <w:style w:type="paragraph" w:styleId="28">
    <w:name w:val="Salutation"/>
    <w:basedOn w:val="1"/>
    <w:next w:val="1"/>
    <w:link w:val="131"/>
    <w:qFormat/>
    <w:uiPriority w:val="0"/>
    <w:rPr>
      <w:rFonts w:ascii="Tahoma" w:hAnsi="Tahoma" w:eastAsia="仿宋_GB2312"/>
      <w:sz w:val="32"/>
    </w:rPr>
  </w:style>
  <w:style w:type="paragraph" w:styleId="29">
    <w:name w:val="Body Text 3"/>
    <w:basedOn w:val="1"/>
    <w:link w:val="261"/>
    <w:qFormat/>
    <w:uiPriority w:val="0"/>
    <w:rPr>
      <w:rFonts w:ascii="宋体" w:hAnsi="Tahoma"/>
      <w:sz w:val="24"/>
      <w:szCs w:val="20"/>
      <w:lang w:val="zh-CN"/>
    </w:rPr>
  </w:style>
  <w:style w:type="paragraph" w:styleId="30">
    <w:name w:val="Closing"/>
    <w:basedOn w:val="1"/>
    <w:link w:val="249"/>
    <w:qFormat/>
    <w:uiPriority w:val="0"/>
    <w:pPr>
      <w:ind w:left="100" w:leftChars="2100"/>
    </w:pPr>
    <w:rPr>
      <w:rFonts w:ascii="Tahoma" w:hAnsi="Tahoma" w:eastAsia="仿宋_GB2312"/>
      <w:sz w:val="32"/>
      <w:szCs w:val="20"/>
    </w:rPr>
  </w:style>
  <w:style w:type="paragraph" w:styleId="31">
    <w:name w:val="List Bullet 3"/>
    <w:basedOn w:val="1"/>
    <w:qFormat/>
    <w:uiPriority w:val="0"/>
    <w:pPr>
      <w:tabs>
        <w:tab w:val="left" w:pos="1200"/>
      </w:tabs>
      <w:ind w:left="780" w:hanging="360"/>
    </w:pPr>
    <w:rPr>
      <w:rFonts w:eastAsia="仿宋_GB2312"/>
      <w:sz w:val="32"/>
      <w:szCs w:val="20"/>
    </w:rPr>
  </w:style>
  <w:style w:type="paragraph" w:styleId="32">
    <w:name w:val="Body Text Indent"/>
    <w:basedOn w:val="1"/>
    <w:link w:val="221"/>
    <w:qFormat/>
    <w:uiPriority w:val="0"/>
    <w:pPr>
      <w:spacing w:after="120"/>
      <w:ind w:left="420" w:leftChars="200"/>
    </w:pPr>
    <w:rPr>
      <w:rFonts w:ascii="Tahoma" w:hAnsi="Tahoma"/>
      <w:lang w:val="zh-CN"/>
    </w:rPr>
  </w:style>
  <w:style w:type="paragraph" w:styleId="33">
    <w:name w:val="List Number 3"/>
    <w:basedOn w:val="1"/>
    <w:qFormat/>
    <w:uiPriority w:val="0"/>
    <w:pPr>
      <w:tabs>
        <w:tab w:val="left" w:pos="420"/>
        <w:tab w:val="left" w:pos="1200"/>
      </w:tabs>
      <w:ind w:left="420" w:hanging="420"/>
    </w:pPr>
    <w:rPr>
      <w:rFonts w:eastAsia="仿宋_GB2312"/>
      <w:sz w:val="32"/>
      <w:szCs w:val="20"/>
    </w:rPr>
  </w:style>
  <w:style w:type="paragraph" w:styleId="34">
    <w:name w:val="List 2"/>
    <w:basedOn w:val="1"/>
    <w:qFormat/>
    <w:uiPriority w:val="0"/>
    <w:pPr>
      <w:ind w:left="100" w:leftChars="200" w:hanging="200" w:hangingChars="200"/>
    </w:pPr>
    <w:rPr>
      <w:rFonts w:eastAsia="仿宋_GB2312"/>
      <w:sz w:val="32"/>
      <w:szCs w:val="20"/>
    </w:rPr>
  </w:style>
  <w:style w:type="paragraph" w:styleId="35">
    <w:name w:val="List Continue"/>
    <w:basedOn w:val="1"/>
    <w:qFormat/>
    <w:uiPriority w:val="0"/>
    <w:pPr>
      <w:spacing w:after="120"/>
      <w:ind w:left="420" w:leftChars="200"/>
    </w:pPr>
    <w:rPr>
      <w:rFonts w:eastAsia="仿宋_GB2312"/>
      <w:sz w:val="32"/>
      <w:szCs w:val="20"/>
    </w:rPr>
  </w:style>
  <w:style w:type="paragraph" w:styleId="36">
    <w:name w:val="Block Text"/>
    <w:basedOn w:val="1"/>
    <w:next w:val="1"/>
    <w:link w:val="252"/>
    <w:qFormat/>
    <w:uiPriority w:val="0"/>
    <w:rPr>
      <w:i/>
      <w:iCs/>
      <w:color w:val="000000"/>
      <w:szCs w:val="22"/>
      <w:lang w:val="zh-CN"/>
    </w:rPr>
  </w:style>
  <w:style w:type="paragraph" w:styleId="37">
    <w:name w:val="List Bullet 2"/>
    <w:basedOn w:val="25"/>
    <w:qFormat/>
    <w:uiPriority w:val="0"/>
    <w:pPr>
      <w:widowControl/>
      <w:tabs>
        <w:tab w:val="left" w:pos="420"/>
        <w:tab w:val="left" w:pos="1200"/>
        <w:tab w:val="clear" w:pos="360"/>
      </w:tabs>
      <w:spacing w:after="220" w:line="220" w:lineRule="atLeast"/>
      <w:ind w:left="2160" w:right="720" w:hanging="420" w:firstLineChars="0"/>
      <w:jc w:val="left"/>
    </w:pPr>
    <w:rPr>
      <w:kern w:val="0"/>
    </w:rPr>
  </w:style>
  <w:style w:type="paragraph" w:styleId="38">
    <w:name w:val="HTML Address"/>
    <w:basedOn w:val="1"/>
    <w:link w:val="273"/>
    <w:qFormat/>
    <w:uiPriority w:val="0"/>
    <w:rPr>
      <w:rFonts w:ascii="Tahoma" w:hAnsi="Tahoma" w:eastAsia="仿宋_GB2312"/>
      <w:i/>
      <w:iCs/>
      <w:sz w:val="32"/>
      <w:szCs w:val="20"/>
    </w:rPr>
  </w:style>
  <w:style w:type="paragraph" w:styleId="39">
    <w:name w:val="index 4"/>
    <w:basedOn w:val="1"/>
    <w:next w:val="1"/>
    <w:qFormat/>
    <w:uiPriority w:val="0"/>
    <w:pPr>
      <w:ind w:left="600" w:leftChars="600"/>
    </w:pPr>
  </w:style>
  <w:style w:type="paragraph" w:styleId="40">
    <w:name w:val="toc 5"/>
    <w:basedOn w:val="1"/>
    <w:next w:val="1"/>
    <w:qFormat/>
    <w:uiPriority w:val="0"/>
    <w:pPr>
      <w:ind w:left="1680" w:leftChars="800"/>
    </w:pPr>
  </w:style>
  <w:style w:type="paragraph" w:styleId="41">
    <w:name w:val="toc 3"/>
    <w:basedOn w:val="1"/>
    <w:next w:val="1"/>
    <w:qFormat/>
    <w:uiPriority w:val="0"/>
    <w:pPr>
      <w:ind w:left="840" w:leftChars="400"/>
    </w:pPr>
  </w:style>
  <w:style w:type="paragraph" w:styleId="42">
    <w:name w:val="Plain Text"/>
    <w:basedOn w:val="1"/>
    <w:link w:val="238"/>
    <w:qFormat/>
    <w:uiPriority w:val="0"/>
    <w:rPr>
      <w:rFonts w:ascii="宋体" w:hAnsi="Courier New"/>
      <w:szCs w:val="20"/>
      <w:lang w:val="zh-CN"/>
    </w:rPr>
  </w:style>
  <w:style w:type="paragraph" w:styleId="43">
    <w:name w:val="List Bullet 5"/>
    <w:basedOn w:val="1"/>
    <w:qFormat/>
    <w:uiPriority w:val="0"/>
    <w:pPr>
      <w:tabs>
        <w:tab w:val="left" w:pos="2040"/>
      </w:tabs>
      <w:ind w:left="1140" w:hanging="720"/>
    </w:pPr>
    <w:rPr>
      <w:rFonts w:eastAsia="仿宋_GB2312"/>
      <w:sz w:val="32"/>
      <w:szCs w:val="20"/>
    </w:rPr>
  </w:style>
  <w:style w:type="paragraph" w:styleId="44">
    <w:name w:val="List Number 4"/>
    <w:basedOn w:val="1"/>
    <w:qFormat/>
    <w:uiPriority w:val="0"/>
    <w:pPr>
      <w:tabs>
        <w:tab w:val="left" w:pos="1125"/>
        <w:tab w:val="left" w:pos="1620"/>
      </w:tabs>
      <w:ind w:left="1125" w:hanging="1125"/>
    </w:pPr>
    <w:rPr>
      <w:rFonts w:eastAsia="仿宋_GB2312"/>
      <w:sz w:val="32"/>
      <w:szCs w:val="20"/>
    </w:rPr>
  </w:style>
  <w:style w:type="paragraph" w:styleId="45">
    <w:name w:val="toc 8"/>
    <w:basedOn w:val="1"/>
    <w:next w:val="1"/>
    <w:qFormat/>
    <w:uiPriority w:val="0"/>
    <w:pPr>
      <w:ind w:left="2940" w:leftChars="1400"/>
    </w:pPr>
  </w:style>
  <w:style w:type="paragraph" w:styleId="46">
    <w:name w:val="Date"/>
    <w:basedOn w:val="1"/>
    <w:next w:val="1"/>
    <w:link w:val="147"/>
    <w:qFormat/>
    <w:uiPriority w:val="0"/>
    <w:rPr>
      <w:sz w:val="24"/>
      <w:szCs w:val="20"/>
      <w:lang w:val="zh-CN"/>
    </w:rPr>
  </w:style>
  <w:style w:type="paragraph" w:styleId="47">
    <w:name w:val="Body Text Indent 2"/>
    <w:basedOn w:val="1"/>
    <w:link w:val="127"/>
    <w:qFormat/>
    <w:uiPriority w:val="0"/>
    <w:pPr>
      <w:spacing w:after="120" w:line="480" w:lineRule="auto"/>
      <w:ind w:left="420" w:leftChars="200"/>
    </w:pPr>
    <w:rPr>
      <w:rFonts w:ascii="Tahoma" w:hAnsi="Tahoma" w:eastAsia="Times New Roman"/>
      <w:szCs w:val="20"/>
    </w:rPr>
  </w:style>
  <w:style w:type="paragraph" w:styleId="48">
    <w:name w:val="List Continue 5"/>
    <w:basedOn w:val="1"/>
    <w:qFormat/>
    <w:uiPriority w:val="0"/>
    <w:pPr>
      <w:spacing w:after="120"/>
      <w:ind w:left="2100" w:leftChars="1000"/>
    </w:pPr>
    <w:rPr>
      <w:rFonts w:eastAsia="仿宋_GB2312"/>
      <w:sz w:val="32"/>
      <w:szCs w:val="20"/>
    </w:rPr>
  </w:style>
  <w:style w:type="paragraph" w:styleId="49">
    <w:name w:val="Balloon Text"/>
    <w:basedOn w:val="1"/>
    <w:link w:val="208"/>
    <w:qFormat/>
    <w:uiPriority w:val="0"/>
    <w:rPr>
      <w:sz w:val="18"/>
      <w:szCs w:val="18"/>
      <w:lang w:val="zh-CN"/>
    </w:rPr>
  </w:style>
  <w:style w:type="paragraph" w:styleId="50">
    <w:name w:val="footer"/>
    <w:basedOn w:val="1"/>
    <w:link w:val="226"/>
    <w:qFormat/>
    <w:uiPriority w:val="99"/>
    <w:pPr>
      <w:tabs>
        <w:tab w:val="center" w:pos="4153"/>
        <w:tab w:val="right" w:pos="8306"/>
      </w:tabs>
      <w:snapToGrid w:val="0"/>
      <w:jc w:val="left"/>
    </w:pPr>
    <w:rPr>
      <w:sz w:val="18"/>
      <w:szCs w:val="18"/>
      <w:lang w:val="zh-CN"/>
    </w:rPr>
  </w:style>
  <w:style w:type="paragraph" w:styleId="51">
    <w:name w:val="envelope return"/>
    <w:basedOn w:val="1"/>
    <w:qFormat/>
    <w:uiPriority w:val="0"/>
    <w:pPr>
      <w:snapToGrid w:val="0"/>
    </w:pPr>
    <w:rPr>
      <w:rFonts w:ascii="Arial" w:hAnsi="Arial" w:eastAsia="仿宋_GB2312" w:cs="Arial"/>
      <w:sz w:val="32"/>
      <w:szCs w:val="20"/>
    </w:rPr>
  </w:style>
  <w:style w:type="paragraph" w:styleId="52">
    <w:name w:val="Body Text First Indent 2"/>
    <w:basedOn w:val="32"/>
    <w:link w:val="180"/>
    <w:qFormat/>
    <w:uiPriority w:val="0"/>
    <w:pPr>
      <w:ind w:firstLine="420" w:firstLineChars="200"/>
    </w:pPr>
    <w:rPr>
      <w:rFonts w:eastAsia="仿宋_GB2312"/>
      <w:sz w:val="32"/>
      <w:lang w:val="en-US"/>
    </w:rPr>
  </w:style>
  <w:style w:type="paragraph" w:styleId="53">
    <w:name w:val="header"/>
    <w:basedOn w:val="1"/>
    <w:link w:val="151"/>
    <w:qFormat/>
    <w:uiPriority w:val="0"/>
    <w:pPr>
      <w:pBdr>
        <w:bottom w:val="single" w:color="auto" w:sz="6" w:space="1"/>
      </w:pBdr>
      <w:tabs>
        <w:tab w:val="center" w:pos="4153"/>
        <w:tab w:val="right" w:pos="8306"/>
      </w:tabs>
      <w:snapToGrid w:val="0"/>
      <w:jc w:val="center"/>
    </w:pPr>
    <w:rPr>
      <w:sz w:val="18"/>
      <w:szCs w:val="18"/>
      <w:lang w:val="zh-CN"/>
    </w:rPr>
  </w:style>
  <w:style w:type="paragraph" w:styleId="54">
    <w:name w:val="Signature"/>
    <w:basedOn w:val="1"/>
    <w:link w:val="279"/>
    <w:qFormat/>
    <w:uiPriority w:val="0"/>
    <w:pPr>
      <w:ind w:left="100" w:leftChars="2100"/>
    </w:pPr>
    <w:rPr>
      <w:rFonts w:ascii="Tahoma" w:hAnsi="Tahoma" w:eastAsia="仿宋_GB2312"/>
      <w:sz w:val="32"/>
      <w:szCs w:val="20"/>
    </w:rPr>
  </w:style>
  <w:style w:type="paragraph" w:styleId="55">
    <w:name w:val="toc 1"/>
    <w:basedOn w:val="1"/>
    <w:next w:val="1"/>
    <w:qFormat/>
    <w:uiPriority w:val="0"/>
    <w:pPr>
      <w:spacing w:line="440" w:lineRule="exact"/>
      <w:jc w:val="center"/>
    </w:pPr>
  </w:style>
  <w:style w:type="paragraph" w:styleId="56">
    <w:name w:val="List Continue 4"/>
    <w:basedOn w:val="1"/>
    <w:qFormat/>
    <w:uiPriority w:val="0"/>
    <w:pPr>
      <w:spacing w:after="120"/>
      <w:ind w:left="1680" w:leftChars="800"/>
    </w:pPr>
    <w:rPr>
      <w:rFonts w:eastAsia="仿宋_GB2312"/>
      <w:sz w:val="32"/>
      <w:szCs w:val="20"/>
    </w:rPr>
  </w:style>
  <w:style w:type="paragraph" w:styleId="57">
    <w:name w:val="toc 4"/>
    <w:basedOn w:val="1"/>
    <w:next w:val="1"/>
    <w:qFormat/>
    <w:uiPriority w:val="0"/>
    <w:pPr>
      <w:ind w:left="1260" w:leftChars="600"/>
    </w:pPr>
  </w:style>
  <w:style w:type="paragraph" w:styleId="58">
    <w:name w:val="Subtitle"/>
    <w:basedOn w:val="1"/>
    <w:next w:val="1"/>
    <w:link w:val="157"/>
    <w:qFormat/>
    <w:uiPriority w:val="0"/>
    <w:pPr>
      <w:spacing w:before="240" w:after="60" w:line="312" w:lineRule="auto"/>
      <w:jc w:val="center"/>
      <w:outlineLvl w:val="1"/>
    </w:pPr>
    <w:rPr>
      <w:rFonts w:ascii="Cambria" w:hAnsi="Cambria"/>
      <w:b/>
      <w:bCs/>
      <w:kern w:val="28"/>
      <w:sz w:val="32"/>
      <w:szCs w:val="32"/>
      <w:lang w:val="zh-CN"/>
    </w:rPr>
  </w:style>
  <w:style w:type="paragraph" w:styleId="59">
    <w:name w:val="List Number 5"/>
    <w:basedOn w:val="1"/>
    <w:qFormat/>
    <w:uiPriority w:val="0"/>
    <w:pPr>
      <w:tabs>
        <w:tab w:val="left" w:pos="420"/>
        <w:tab w:val="left" w:pos="2040"/>
      </w:tabs>
      <w:ind w:left="420" w:hanging="420"/>
    </w:pPr>
    <w:rPr>
      <w:rFonts w:eastAsia="仿宋_GB2312"/>
      <w:sz w:val="32"/>
      <w:szCs w:val="20"/>
    </w:rPr>
  </w:style>
  <w:style w:type="paragraph" w:styleId="60">
    <w:name w:val="List"/>
    <w:basedOn w:val="16"/>
    <w:qFormat/>
    <w:uiPriority w:val="0"/>
    <w:pPr>
      <w:widowControl/>
      <w:spacing w:after="220" w:line="220" w:lineRule="atLeast"/>
      <w:ind w:left="1440" w:hanging="360"/>
      <w:jc w:val="left"/>
    </w:pPr>
    <w:rPr>
      <w:kern w:val="0"/>
      <w:szCs w:val="20"/>
    </w:rPr>
  </w:style>
  <w:style w:type="paragraph" w:styleId="61">
    <w:name w:val="footnote text"/>
    <w:basedOn w:val="1"/>
    <w:link w:val="233"/>
    <w:qFormat/>
    <w:uiPriority w:val="0"/>
    <w:pPr>
      <w:adjustRightInd w:val="0"/>
      <w:snapToGrid w:val="0"/>
      <w:spacing w:line="360" w:lineRule="atLeast"/>
      <w:ind w:firstLine="425"/>
      <w:jc w:val="left"/>
      <w:textAlignment w:val="baseline"/>
    </w:pPr>
    <w:rPr>
      <w:rFonts w:ascii="Tahoma" w:hAnsi="Tahoma" w:eastAsia="Times New Roman"/>
      <w:sz w:val="18"/>
    </w:rPr>
  </w:style>
  <w:style w:type="paragraph" w:styleId="62">
    <w:name w:val="toc 6"/>
    <w:basedOn w:val="1"/>
    <w:next w:val="1"/>
    <w:qFormat/>
    <w:uiPriority w:val="0"/>
    <w:pPr>
      <w:ind w:left="2100" w:leftChars="1000"/>
    </w:pPr>
  </w:style>
  <w:style w:type="paragraph" w:styleId="63">
    <w:name w:val="List 5"/>
    <w:basedOn w:val="1"/>
    <w:qFormat/>
    <w:uiPriority w:val="0"/>
    <w:pPr>
      <w:ind w:left="100" w:leftChars="800" w:hanging="200" w:hangingChars="200"/>
    </w:pPr>
    <w:rPr>
      <w:rFonts w:eastAsia="仿宋_GB2312"/>
      <w:sz w:val="32"/>
      <w:szCs w:val="20"/>
    </w:rPr>
  </w:style>
  <w:style w:type="paragraph" w:styleId="64">
    <w:name w:val="Body Text Indent 3"/>
    <w:basedOn w:val="1"/>
    <w:link w:val="231"/>
    <w:qFormat/>
    <w:uiPriority w:val="0"/>
    <w:pPr>
      <w:spacing w:after="120"/>
      <w:ind w:left="420" w:leftChars="200"/>
    </w:pPr>
    <w:rPr>
      <w:rFonts w:ascii="Tahoma" w:hAnsi="Tahoma"/>
      <w:sz w:val="16"/>
      <w:szCs w:val="16"/>
      <w:lang w:val="zh-CN"/>
    </w:rPr>
  </w:style>
  <w:style w:type="paragraph" w:styleId="65">
    <w:name w:val="toc 2"/>
    <w:basedOn w:val="1"/>
    <w:next w:val="1"/>
    <w:qFormat/>
    <w:uiPriority w:val="0"/>
    <w:pPr>
      <w:ind w:left="420" w:leftChars="200"/>
    </w:pPr>
  </w:style>
  <w:style w:type="paragraph" w:styleId="66">
    <w:name w:val="toc 9"/>
    <w:basedOn w:val="1"/>
    <w:next w:val="1"/>
    <w:qFormat/>
    <w:uiPriority w:val="0"/>
    <w:pPr>
      <w:ind w:left="3360" w:leftChars="1600"/>
    </w:pPr>
  </w:style>
  <w:style w:type="paragraph" w:styleId="67">
    <w:name w:val="Body Text 2"/>
    <w:basedOn w:val="1"/>
    <w:link w:val="141"/>
    <w:qFormat/>
    <w:uiPriority w:val="0"/>
    <w:pPr>
      <w:widowControl/>
      <w:spacing w:after="120" w:line="480" w:lineRule="auto"/>
      <w:jc w:val="left"/>
    </w:pPr>
    <w:rPr>
      <w:rFonts w:ascii="Tahoma" w:hAnsi="Tahoma" w:eastAsia="Times New Roman"/>
    </w:rPr>
  </w:style>
  <w:style w:type="paragraph" w:styleId="68">
    <w:name w:val="List 4"/>
    <w:basedOn w:val="1"/>
    <w:qFormat/>
    <w:uiPriority w:val="0"/>
    <w:pPr>
      <w:ind w:left="100" w:leftChars="600" w:hanging="200" w:hangingChars="200"/>
    </w:pPr>
    <w:rPr>
      <w:rFonts w:eastAsia="仿宋_GB2312"/>
      <w:sz w:val="32"/>
      <w:szCs w:val="20"/>
    </w:rPr>
  </w:style>
  <w:style w:type="paragraph" w:styleId="69">
    <w:name w:val="List Continue 2"/>
    <w:basedOn w:val="1"/>
    <w:qFormat/>
    <w:uiPriority w:val="0"/>
    <w:pPr>
      <w:spacing w:after="120"/>
      <w:ind w:left="840" w:leftChars="400"/>
    </w:pPr>
    <w:rPr>
      <w:rFonts w:eastAsia="仿宋_GB2312"/>
      <w:sz w:val="32"/>
      <w:szCs w:val="20"/>
    </w:rPr>
  </w:style>
  <w:style w:type="paragraph" w:styleId="70">
    <w:name w:val="Message Header"/>
    <w:basedOn w:val="1"/>
    <w:link w:val="31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sz w:val="24"/>
      <w:shd w:val="pct20" w:color="auto" w:fill="auto"/>
    </w:rPr>
  </w:style>
  <w:style w:type="paragraph" w:styleId="71">
    <w:name w:val="HTML Preformatted"/>
    <w:basedOn w:val="1"/>
    <w:link w:val="314"/>
    <w:qFormat/>
    <w:uiPriority w:val="99"/>
    <w:rPr>
      <w:rFonts w:ascii="Courier New" w:hAnsi="Courier New" w:eastAsia="仿宋_GB2312"/>
    </w:rPr>
  </w:style>
  <w:style w:type="paragraph" w:styleId="72">
    <w:name w:val="Normal (Web)"/>
    <w:basedOn w:val="1"/>
    <w:qFormat/>
    <w:uiPriority w:val="0"/>
    <w:pPr>
      <w:widowControl/>
      <w:spacing w:before="100" w:beforeAutospacing="1" w:after="100" w:afterAutospacing="1" w:line="283" w:lineRule="atLeast"/>
      <w:jc w:val="left"/>
    </w:pPr>
    <w:rPr>
      <w:rFonts w:ascii="宋体" w:hAnsi="宋体"/>
      <w:color w:val="000000"/>
      <w:kern w:val="0"/>
      <w:sz w:val="19"/>
      <w:szCs w:val="20"/>
    </w:rPr>
  </w:style>
  <w:style w:type="paragraph" w:styleId="73">
    <w:name w:val="List Continue 3"/>
    <w:basedOn w:val="1"/>
    <w:qFormat/>
    <w:uiPriority w:val="0"/>
    <w:pPr>
      <w:spacing w:after="120"/>
      <w:ind w:left="1260" w:leftChars="600"/>
    </w:pPr>
    <w:rPr>
      <w:rFonts w:eastAsia="仿宋_GB2312"/>
      <w:sz w:val="32"/>
      <w:szCs w:val="20"/>
    </w:rPr>
  </w:style>
  <w:style w:type="paragraph" w:styleId="74">
    <w:name w:val="index 1"/>
    <w:basedOn w:val="1"/>
    <w:next w:val="1"/>
    <w:qFormat/>
    <w:uiPriority w:val="0"/>
    <w:pPr>
      <w:spacing w:line="220" w:lineRule="exact"/>
      <w:jc w:val="center"/>
    </w:pPr>
    <w:rPr>
      <w:rFonts w:ascii="仿宋_GB2312" w:eastAsia="仿宋_GB2312"/>
      <w:szCs w:val="21"/>
    </w:rPr>
  </w:style>
  <w:style w:type="paragraph" w:styleId="75">
    <w:name w:val="Title"/>
    <w:basedOn w:val="1"/>
    <w:link w:val="256"/>
    <w:qFormat/>
    <w:uiPriority w:val="0"/>
    <w:pPr>
      <w:adjustRightInd w:val="0"/>
      <w:spacing w:before="240" w:after="60" w:line="420" w:lineRule="atLeast"/>
      <w:jc w:val="center"/>
      <w:textAlignment w:val="baseline"/>
      <w:outlineLvl w:val="0"/>
    </w:pPr>
    <w:rPr>
      <w:rFonts w:ascii="Arial" w:hAnsi="Arial"/>
      <w:b/>
      <w:kern w:val="0"/>
      <w:sz w:val="32"/>
      <w:szCs w:val="20"/>
      <w:lang w:val="zh-CN"/>
    </w:rPr>
  </w:style>
  <w:style w:type="character" w:styleId="77">
    <w:name w:val="Strong"/>
    <w:qFormat/>
    <w:uiPriority w:val="0"/>
    <w:rPr>
      <w:rFonts w:ascii="Tahoma" w:hAnsi="Tahoma" w:eastAsia="宋体"/>
      <w:b/>
      <w:bCs/>
      <w:kern w:val="2"/>
      <w:sz w:val="24"/>
      <w:szCs w:val="24"/>
      <w:lang w:val="en-US" w:eastAsia="zh-CN" w:bidi="ar-SA"/>
    </w:rPr>
  </w:style>
  <w:style w:type="character" w:styleId="78">
    <w:name w:val="page number"/>
    <w:basedOn w:val="76"/>
    <w:qFormat/>
    <w:uiPriority w:val="0"/>
    <w:rPr>
      <w:rFonts w:ascii="Tahoma" w:hAnsi="Tahoma"/>
      <w:sz w:val="24"/>
      <w:szCs w:val="20"/>
    </w:rPr>
  </w:style>
  <w:style w:type="character" w:styleId="79">
    <w:name w:val="Emphasis"/>
    <w:qFormat/>
    <w:uiPriority w:val="0"/>
    <w:rPr>
      <w:i/>
      <w:iCs/>
    </w:rPr>
  </w:style>
  <w:style w:type="character" w:styleId="80">
    <w:name w:val="line number"/>
    <w:basedOn w:val="76"/>
    <w:qFormat/>
    <w:uiPriority w:val="0"/>
    <w:rPr>
      <w:rFonts w:ascii="Tahoma" w:hAnsi="Tahoma"/>
      <w:sz w:val="24"/>
      <w:szCs w:val="20"/>
    </w:rPr>
  </w:style>
  <w:style w:type="character" w:styleId="81">
    <w:name w:val="HTML Definition"/>
    <w:qFormat/>
    <w:uiPriority w:val="0"/>
    <w:rPr>
      <w:i/>
      <w:iCs/>
    </w:rPr>
  </w:style>
  <w:style w:type="character" w:styleId="82">
    <w:name w:val="HTML Typewriter"/>
    <w:qFormat/>
    <w:uiPriority w:val="0"/>
    <w:rPr>
      <w:rFonts w:ascii="Courier New" w:hAnsi="Courier New" w:cs="Courier New"/>
      <w:sz w:val="20"/>
      <w:szCs w:val="20"/>
    </w:rPr>
  </w:style>
  <w:style w:type="character" w:styleId="83">
    <w:name w:val="HTML Acronym"/>
    <w:basedOn w:val="76"/>
    <w:qFormat/>
    <w:uiPriority w:val="0"/>
    <w:rPr>
      <w:rFonts w:ascii="Tahoma" w:hAnsi="Tahoma"/>
      <w:sz w:val="24"/>
      <w:szCs w:val="20"/>
    </w:rPr>
  </w:style>
  <w:style w:type="character" w:styleId="84">
    <w:name w:val="HTML Variable"/>
    <w:qFormat/>
    <w:uiPriority w:val="0"/>
    <w:rPr>
      <w:i/>
      <w:iCs/>
    </w:rPr>
  </w:style>
  <w:style w:type="character" w:styleId="85">
    <w:name w:val="Hyperlink"/>
    <w:qFormat/>
    <w:uiPriority w:val="0"/>
    <w:rPr>
      <w:rFonts w:ascii="Tahoma" w:hAnsi="Tahoma"/>
      <w:color w:val="0000FF"/>
      <w:sz w:val="24"/>
      <w:szCs w:val="20"/>
      <w:u w:val="single"/>
    </w:rPr>
  </w:style>
  <w:style w:type="character" w:styleId="86">
    <w:name w:val="HTML Code"/>
    <w:qFormat/>
    <w:uiPriority w:val="0"/>
    <w:rPr>
      <w:rFonts w:ascii="Courier New" w:hAnsi="Courier New" w:cs="Courier New"/>
      <w:sz w:val="20"/>
      <w:szCs w:val="20"/>
    </w:rPr>
  </w:style>
  <w:style w:type="character" w:styleId="87">
    <w:name w:val="annotation reference"/>
    <w:qFormat/>
    <w:uiPriority w:val="0"/>
    <w:rPr>
      <w:rFonts w:ascii="Tahoma" w:hAnsi="Tahoma"/>
      <w:sz w:val="21"/>
      <w:szCs w:val="21"/>
    </w:rPr>
  </w:style>
  <w:style w:type="character" w:styleId="88">
    <w:name w:val="HTML Cite"/>
    <w:qFormat/>
    <w:uiPriority w:val="0"/>
    <w:rPr>
      <w:i/>
      <w:iCs/>
    </w:rPr>
  </w:style>
  <w:style w:type="character" w:styleId="89">
    <w:name w:val="footnote reference"/>
    <w:qFormat/>
    <w:uiPriority w:val="0"/>
    <w:rPr>
      <w:vertAlign w:val="superscript"/>
    </w:rPr>
  </w:style>
  <w:style w:type="character" w:styleId="90">
    <w:name w:val="HTML Keyboard"/>
    <w:qFormat/>
    <w:uiPriority w:val="0"/>
    <w:rPr>
      <w:rFonts w:ascii="Courier New" w:hAnsi="Courier New" w:cs="Courier New"/>
      <w:sz w:val="20"/>
      <w:szCs w:val="20"/>
    </w:rPr>
  </w:style>
  <w:style w:type="character" w:styleId="91">
    <w:name w:val="HTML Sample"/>
    <w:qFormat/>
    <w:uiPriority w:val="0"/>
    <w:rPr>
      <w:rFonts w:ascii="Courier New" w:hAnsi="Courier New" w:cs="Courier New"/>
    </w:rPr>
  </w:style>
  <w:style w:type="table" w:styleId="93">
    <w:name w:val="Table Grid"/>
    <w:basedOn w:val="9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94">
    <w:name w:val="已访问的超链接1"/>
    <w:qFormat/>
    <w:uiPriority w:val="0"/>
    <w:rPr>
      <w:rFonts w:ascii="Tahoma" w:hAnsi="Tahoma"/>
      <w:color w:val="800080"/>
      <w:sz w:val="24"/>
      <w:szCs w:val="20"/>
      <w:u w:val="single"/>
    </w:rPr>
  </w:style>
  <w:style w:type="character" w:customStyle="1" w:styleId="95">
    <w:name w:val="标题 5 Char"/>
    <w:link w:val="6"/>
    <w:qFormat/>
    <w:uiPriority w:val="0"/>
    <w:rPr>
      <w:rFonts w:ascii="Calibri" w:hAnsi="Calibri"/>
      <w:b/>
      <w:bCs/>
      <w:kern w:val="2"/>
      <w:sz w:val="28"/>
      <w:szCs w:val="28"/>
    </w:rPr>
  </w:style>
  <w:style w:type="character" w:customStyle="1" w:styleId="96">
    <w:name w:val="日期 Char1"/>
    <w:qFormat/>
    <w:uiPriority w:val="0"/>
    <w:rPr>
      <w:kern w:val="2"/>
      <w:sz w:val="21"/>
      <w:szCs w:val="22"/>
    </w:rPr>
  </w:style>
  <w:style w:type="character" w:customStyle="1" w:styleId="97">
    <w:name w:val="引用 Char1"/>
    <w:qFormat/>
    <w:uiPriority w:val="29"/>
    <w:rPr>
      <w:rFonts w:ascii="Tahoma" w:hAnsi="Tahoma"/>
      <w:i/>
      <w:iCs/>
      <w:color w:val="000000"/>
      <w:kern w:val="2"/>
      <w:sz w:val="21"/>
      <w:szCs w:val="24"/>
    </w:rPr>
  </w:style>
  <w:style w:type="character" w:customStyle="1" w:styleId="98">
    <w:name w:val="Char Char26"/>
    <w:qFormat/>
    <w:uiPriority w:val="0"/>
    <w:rPr>
      <w:rFonts w:eastAsia="宋体"/>
      <w:kern w:val="2"/>
      <w:sz w:val="21"/>
      <w:szCs w:val="24"/>
      <w:lang w:val="en-US" w:eastAsia="zh-CN" w:bidi="ar-SA"/>
    </w:rPr>
  </w:style>
  <w:style w:type="character" w:customStyle="1" w:styleId="99">
    <w:name w:val="标题 4 Char Char"/>
    <w:qFormat/>
    <w:uiPriority w:val="0"/>
    <w:rPr>
      <w:rFonts w:ascii="Cambria" w:hAnsi="Cambria" w:eastAsia="宋体" w:cs="Times New Roman"/>
      <w:b/>
      <w:bCs/>
      <w:kern w:val="2"/>
      <w:sz w:val="28"/>
      <w:szCs w:val="28"/>
    </w:rPr>
  </w:style>
  <w:style w:type="character" w:customStyle="1" w:styleId="100">
    <w:name w:val="批注框文本 Char1"/>
    <w:qFormat/>
    <w:uiPriority w:val="0"/>
    <w:rPr>
      <w:kern w:val="2"/>
      <w:sz w:val="18"/>
      <w:szCs w:val="18"/>
    </w:rPr>
  </w:style>
  <w:style w:type="character" w:customStyle="1" w:styleId="101">
    <w:name w:val="明显引用 Char2"/>
    <w:qFormat/>
    <w:uiPriority w:val="0"/>
    <w:rPr>
      <w:rFonts w:ascii="Tahoma" w:hAnsi="Tahoma"/>
      <w:b/>
      <w:bCs/>
      <w:i/>
      <w:iCs/>
      <w:color w:val="4F81BD"/>
      <w:kern w:val="2"/>
      <w:sz w:val="21"/>
      <w:szCs w:val="24"/>
    </w:rPr>
  </w:style>
  <w:style w:type="character" w:customStyle="1" w:styleId="102">
    <w:name w:val="注释标题 Char1"/>
    <w:semiHidden/>
    <w:qFormat/>
    <w:uiPriority w:val="0"/>
    <w:rPr>
      <w:sz w:val="24"/>
      <w:szCs w:val="24"/>
      <w:lang w:eastAsia="en-US"/>
    </w:rPr>
  </w:style>
  <w:style w:type="character" w:customStyle="1" w:styleId="103">
    <w:name w:val="引用 Char"/>
    <w:link w:val="104"/>
    <w:qFormat/>
    <w:uiPriority w:val="0"/>
    <w:rPr>
      <w:i/>
      <w:iCs/>
      <w:color w:val="000000"/>
      <w:kern w:val="2"/>
      <w:sz w:val="21"/>
      <w:szCs w:val="22"/>
    </w:rPr>
  </w:style>
  <w:style w:type="paragraph" w:styleId="104">
    <w:name w:val="Quote"/>
    <w:basedOn w:val="1"/>
    <w:next w:val="1"/>
    <w:link w:val="103"/>
    <w:qFormat/>
    <w:uiPriority w:val="0"/>
    <w:rPr>
      <w:i/>
      <w:iCs/>
      <w:color w:val="000000"/>
      <w:szCs w:val="22"/>
      <w:lang w:val="zh-CN"/>
    </w:rPr>
  </w:style>
  <w:style w:type="character" w:customStyle="1" w:styleId="105">
    <w:name w:val="书籍标题1"/>
    <w:qFormat/>
    <w:uiPriority w:val="0"/>
    <w:rPr>
      <w:b/>
      <w:bCs/>
      <w:smallCaps/>
      <w:spacing w:val="5"/>
    </w:rPr>
  </w:style>
  <w:style w:type="character" w:customStyle="1" w:styleId="106">
    <w:name w:val="正文首行缩进 Char"/>
    <w:basedOn w:val="107"/>
    <w:link w:val="15"/>
    <w:qFormat/>
    <w:uiPriority w:val="0"/>
    <w:rPr>
      <w:rFonts w:ascii="Tahoma" w:hAnsi="Tahoma"/>
      <w:kern w:val="2"/>
      <w:sz w:val="21"/>
      <w:szCs w:val="24"/>
    </w:rPr>
  </w:style>
  <w:style w:type="character" w:customStyle="1" w:styleId="107">
    <w:name w:val="正文文本 Char3"/>
    <w:semiHidden/>
    <w:qFormat/>
    <w:uiPriority w:val="0"/>
    <w:rPr>
      <w:rFonts w:ascii="Tahoma" w:hAnsi="Tahoma"/>
      <w:kern w:val="2"/>
      <w:sz w:val="21"/>
      <w:szCs w:val="24"/>
    </w:rPr>
  </w:style>
  <w:style w:type="character" w:customStyle="1" w:styleId="108">
    <w:name w:val="Char Char18"/>
    <w:qFormat/>
    <w:uiPriority w:val="0"/>
    <w:rPr>
      <w:b/>
      <w:bCs/>
      <w:kern w:val="44"/>
      <w:sz w:val="44"/>
      <w:szCs w:val="44"/>
    </w:rPr>
  </w:style>
  <w:style w:type="character" w:customStyle="1" w:styleId="109">
    <w:name w:val="批注主题 Char Char"/>
    <w:link w:val="110"/>
    <w:qFormat/>
    <w:uiPriority w:val="0"/>
    <w:rPr>
      <w:rFonts w:ascii="宋体"/>
      <w:b/>
      <w:bCs/>
      <w:sz w:val="28"/>
      <w:lang w:bidi="ar-SA"/>
    </w:rPr>
  </w:style>
  <w:style w:type="paragraph" w:customStyle="1" w:styleId="110">
    <w:name w:val="批注主题1"/>
    <w:basedOn w:val="13"/>
    <w:next w:val="13"/>
    <w:link w:val="109"/>
    <w:qFormat/>
    <w:uiPriority w:val="0"/>
    <w:rPr>
      <w:rFonts w:ascii="宋体" w:hAnsi="Times New Roman"/>
      <w:b/>
      <w:bCs/>
      <w:kern w:val="0"/>
      <w:sz w:val="28"/>
      <w:szCs w:val="20"/>
      <w:lang w:val="zh-CN"/>
    </w:rPr>
  </w:style>
  <w:style w:type="character" w:customStyle="1" w:styleId="111">
    <w:name w:val="不明显参考1"/>
    <w:qFormat/>
    <w:uiPriority w:val="0"/>
    <w:rPr>
      <w:smallCaps/>
      <w:color w:val="C0504D"/>
      <w:u w:val="single"/>
    </w:rPr>
  </w:style>
  <w:style w:type="character" w:customStyle="1" w:styleId="112">
    <w:name w:val="Comment Text Char"/>
    <w:qFormat/>
    <w:locked/>
    <w:uiPriority w:val="0"/>
    <w:rPr>
      <w:rFonts w:ascii="Tahoma" w:hAnsi="Tahoma" w:eastAsia="宋体"/>
      <w:kern w:val="2"/>
      <w:sz w:val="21"/>
      <w:szCs w:val="24"/>
      <w:lang w:val="en-US" w:eastAsia="zh-CN" w:bidi="ar-SA"/>
    </w:rPr>
  </w:style>
  <w:style w:type="character" w:customStyle="1" w:styleId="113">
    <w:name w:val="信息标题 Char2"/>
    <w:semiHidden/>
    <w:qFormat/>
    <w:uiPriority w:val="0"/>
    <w:rPr>
      <w:rFonts w:ascii="Cambria" w:hAnsi="Cambria" w:eastAsia="宋体" w:cs="Times New Roman"/>
      <w:kern w:val="2"/>
      <w:sz w:val="24"/>
      <w:szCs w:val="24"/>
      <w:shd w:val="pct20" w:color="auto" w:fill="auto"/>
    </w:rPr>
  </w:style>
  <w:style w:type="character" w:customStyle="1" w:styleId="114">
    <w:name w:val="正文文本 2 Char2"/>
    <w:semiHidden/>
    <w:qFormat/>
    <w:uiPriority w:val="0"/>
    <w:rPr>
      <w:rFonts w:ascii="Tahoma" w:hAnsi="Tahoma"/>
      <w:kern w:val="2"/>
      <w:sz w:val="21"/>
      <w:szCs w:val="24"/>
    </w:rPr>
  </w:style>
  <w:style w:type="character" w:customStyle="1" w:styleId="115">
    <w:name w:val="Char Char24"/>
    <w:qFormat/>
    <w:uiPriority w:val="0"/>
    <w:rPr>
      <w:rFonts w:eastAsia="宋体"/>
      <w:kern w:val="2"/>
      <w:sz w:val="21"/>
      <w:szCs w:val="24"/>
      <w:lang w:val="en-US" w:eastAsia="zh-CN" w:bidi="ar-SA"/>
    </w:rPr>
  </w:style>
  <w:style w:type="character" w:customStyle="1" w:styleId="116">
    <w:name w:val="页眉 Char1"/>
    <w:qFormat/>
    <w:uiPriority w:val="99"/>
    <w:rPr>
      <w:rFonts w:ascii="Times New Roman" w:hAnsi="Times New Roman" w:eastAsia="宋体" w:cs="Times New Roman"/>
      <w:sz w:val="18"/>
      <w:szCs w:val="18"/>
    </w:rPr>
  </w:style>
  <w:style w:type="character" w:customStyle="1" w:styleId="117">
    <w:name w:val="Char Char5"/>
    <w:qFormat/>
    <w:uiPriority w:val="0"/>
    <w:rPr>
      <w:kern w:val="2"/>
      <w:sz w:val="18"/>
      <w:szCs w:val="18"/>
    </w:rPr>
  </w:style>
  <w:style w:type="character" w:customStyle="1" w:styleId="118">
    <w:name w:val="15"/>
    <w:qFormat/>
    <w:uiPriority w:val="0"/>
    <w:rPr>
      <w:rFonts w:hint="default" w:ascii="Times New Roman" w:hAnsi="Times New Roman" w:cs="Times New Roman"/>
      <w:color w:val="0000FF"/>
      <w:sz w:val="20"/>
      <w:szCs w:val="20"/>
      <w:u w:val="single"/>
    </w:rPr>
  </w:style>
  <w:style w:type="character" w:customStyle="1" w:styleId="119">
    <w:name w:val="标题 3 Char"/>
    <w:link w:val="4"/>
    <w:qFormat/>
    <w:uiPriority w:val="0"/>
    <w:rPr>
      <w:b/>
      <w:bCs/>
      <w:kern w:val="2"/>
      <w:sz w:val="32"/>
      <w:szCs w:val="32"/>
    </w:rPr>
  </w:style>
  <w:style w:type="character" w:customStyle="1" w:styleId="120">
    <w:name w:val="批注主题 Char1"/>
    <w:qFormat/>
    <w:uiPriority w:val="0"/>
    <w:rPr>
      <w:b/>
      <w:bCs/>
      <w:kern w:val="2"/>
      <w:sz w:val="21"/>
      <w:szCs w:val="22"/>
    </w:rPr>
  </w:style>
  <w:style w:type="character" w:customStyle="1" w:styleId="121">
    <w:name w:val="标题 8 Char"/>
    <w:link w:val="9"/>
    <w:qFormat/>
    <w:uiPriority w:val="0"/>
    <w:rPr>
      <w:rFonts w:ascii="Arial" w:hAnsi="Arial" w:eastAsia="黑体"/>
      <w:sz w:val="24"/>
      <w:szCs w:val="24"/>
    </w:rPr>
  </w:style>
  <w:style w:type="character" w:customStyle="1" w:styleId="122">
    <w:name w:val="书籍标题2"/>
    <w:qFormat/>
    <w:uiPriority w:val="0"/>
    <w:rPr>
      <w:b/>
      <w:bCs/>
      <w:smallCaps/>
      <w:spacing w:val="5"/>
    </w:rPr>
  </w:style>
  <w:style w:type="character" w:customStyle="1" w:styleId="123">
    <w:name w:val="批注框文本 Char2"/>
    <w:semiHidden/>
    <w:qFormat/>
    <w:uiPriority w:val="99"/>
    <w:rPr>
      <w:rFonts w:ascii="Tahoma" w:hAnsi="Tahoma"/>
      <w:kern w:val="2"/>
      <w:sz w:val="18"/>
      <w:szCs w:val="18"/>
    </w:rPr>
  </w:style>
  <w:style w:type="character" w:customStyle="1" w:styleId="124">
    <w:name w:val="Char Char43"/>
    <w:qFormat/>
    <w:uiPriority w:val="0"/>
    <w:rPr>
      <w:rFonts w:ascii="Arial" w:hAnsi="Arial" w:eastAsia="黑体"/>
      <w:b/>
      <w:bCs/>
      <w:kern w:val="2"/>
      <w:sz w:val="32"/>
      <w:szCs w:val="32"/>
      <w:lang w:val="en-US" w:eastAsia="zh-CN" w:bidi="ar-SA"/>
    </w:rPr>
  </w:style>
  <w:style w:type="character" w:customStyle="1" w:styleId="125">
    <w:name w:val="正文首行缩进 Char Char"/>
    <w:qFormat/>
    <w:uiPriority w:val="0"/>
    <w:rPr>
      <w:rFonts w:eastAsia="宋体"/>
      <w:kern w:val="2"/>
      <w:sz w:val="21"/>
      <w:szCs w:val="24"/>
      <w:lang w:val="en-US" w:eastAsia="zh-CN" w:bidi="ar-SA"/>
    </w:rPr>
  </w:style>
  <w:style w:type="character" w:customStyle="1" w:styleId="126">
    <w:name w:val="Char Char41"/>
    <w:qFormat/>
    <w:uiPriority w:val="0"/>
    <w:rPr>
      <w:rFonts w:ascii="Arial" w:hAnsi="Arial" w:eastAsia="黑体"/>
      <w:b/>
      <w:bCs/>
      <w:kern w:val="2"/>
      <w:sz w:val="28"/>
      <w:szCs w:val="28"/>
      <w:lang w:val="en-US" w:eastAsia="zh-CN" w:bidi="ar-SA"/>
    </w:rPr>
  </w:style>
  <w:style w:type="character" w:customStyle="1" w:styleId="127">
    <w:name w:val="正文文本缩进 2 Char"/>
    <w:link w:val="47"/>
    <w:qFormat/>
    <w:uiPriority w:val="0"/>
    <w:rPr>
      <w:rFonts w:ascii="Tahoma" w:hAnsi="Tahoma" w:eastAsia="Times New Roman"/>
      <w:kern w:val="2"/>
      <w:sz w:val="21"/>
      <w:szCs w:val="20"/>
      <w:lang w:val="en-US" w:eastAsia="zh-CN"/>
    </w:rPr>
  </w:style>
  <w:style w:type="character" w:customStyle="1" w:styleId="128">
    <w:name w:val="Char Char17"/>
    <w:qFormat/>
    <w:uiPriority w:val="0"/>
    <w:rPr>
      <w:rFonts w:ascii="Arial" w:hAnsi="Arial" w:eastAsia="黑体"/>
      <w:b/>
      <w:bCs/>
      <w:kern w:val="2"/>
      <w:sz w:val="32"/>
      <w:szCs w:val="32"/>
      <w:lang w:val="en-US" w:eastAsia="zh-CN" w:bidi="ar-SA"/>
    </w:rPr>
  </w:style>
  <w:style w:type="character" w:customStyle="1" w:styleId="129">
    <w:name w:val="Char Char16"/>
    <w:qFormat/>
    <w:uiPriority w:val="0"/>
    <w:rPr>
      <w:b/>
      <w:bCs/>
      <w:kern w:val="2"/>
      <w:sz w:val="32"/>
      <w:szCs w:val="32"/>
    </w:rPr>
  </w:style>
  <w:style w:type="character" w:customStyle="1" w:styleId="130">
    <w:name w:val="批注主题 Char"/>
    <w:link w:val="12"/>
    <w:qFormat/>
    <w:uiPriority w:val="0"/>
    <w:rPr>
      <w:b/>
      <w:bCs/>
      <w:kern w:val="2"/>
      <w:sz w:val="21"/>
      <w:szCs w:val="24"/>
    </w:rPr>
  </w:style>
  <w:style w:type="character" w:customStyle="1" w:styleId="131">
    <w:name w:val="称呼 Char"/>
    <w:link w:val="28"/>
    <w:qFormat/>
    <w:uiPriority w:val="0"/>
    <w:rPr>
      <w:rFonts w:ascii="Tahoma" w:hAnsi="Tahoma" w:eastAsia="仿宋_GB2312"/>
      <w:kern w:val="2"/>
      <w:sz w:val="32"/>
      <w:szCs w:val="24"/>
      <w:lang w:val="en-US" w:eastAsia="zh-CN"/>
    </w:rPr>
  </w:style>
  <w:style w:type="character" w:customStyle="1" w:styleId="132">
    <w:name w:val="正文文本 2 Char1"/>
    <w:semiHidden/>
    <w:qFormat/>
    <w:uiPriority w:val="0"/>
    <w:rPr>
      <w:sz w:val="24"/>
      <w:szCs w:val="24"/>
      <w:lang w:eastAsia="en-US"/>
    </w:rPr>
  </w:style>
  <w:style w:type="character" w:customStyle="1" w:styleId="133">
    <w:name w:val="标题 1 Char"/>
    <w:link w:val="2"/>
    <w:qFormat/>
    <w:uiPriority w:val="0"/>
    <w:rPr>
      <w:b/>
      <w:bCs/>
      <w:kern w:val="44"/>
      <w:sz w:val="44"/>
      <w:szCs w:val="44"/>
    </w:rPr>
  </w:style>
  <w:style w:type="character" w:customStyle="1" w:styleId="134">
    <w:name w:val="明显参考1"/>
    <w:qFormat/>
    <w:uiPriority w:val="0"/>
    <w:rPr>
      <w:b/>
      <w:bCs/>
      <w:smallCaps/>
      <w:color w:val="C0504D"/>
      <w:spacing w:val="5"/>
      <w:u w:val="single"/>
    </w:rPr>
  </w:style>
  <w:style w:type="character" w:customStyle="1" w:styleId="135">
    <w:name w:val="正文首行缩进 2 Char1"/>
    <w:qFormat/>
    <w:uiPriority w:val="0"/>
    <w:rPr>
      <w:rFonts w:ascii="Tahoma" w:hAnsi="Tahoma" w:eastAsia="宋体"/>
      <w:kern w:val="2"/>
      <w:sz w:val="21"/>
      <w:szCs w:val="24"/>
      <w:lang w:val="en-US" w:eastAsia="zh-CN" w:bidi="ar-SA"/>
    </w:rPr>
  </w:style>
  <w:style w:type="character" w:customStyle="1" w:styleId="136">
    <w:name w:val="正文首行缩进 Char1"/>
    <w:qFormat/>
    <w:uiPriority w:val="0"/>
    <w:rPr>
      <w:rFonts w:ascii="Times New Roman" w:hAnsi="Times New Roman" w:eastAsia="宋体" w:cs="Times New Roman"/>
      <w:kern w:val="2"/>
      <w:sz w:val="21"/>
      <w:szCs w:val="24"/>
    </w:rPr>
  </w:style>
  <w:style w:type="character" w:customStyle="1" w:styleId="137">
    <w:name w:val="Document Map Char"/>
    <w:qFormat/>
    <w:locked/>
    <w:uiPriority w:val="0"/>
    <w:rPr>
      <w:rFonts w:ascii="Tahoma" w:hAnsi="Tahoma" w:eastAsia="宋体"/>
      <w:kern w:val="2"/>
      <w:sz w:val="21"/>
      <w:szCs w:val="24"/>
      <w:lang w:val="en-US" w:eastAsia="zh-CN" w:bidi="ar-SA"/>
    </w:rPr>
  </w:style>
  <w:style w:type="character" w:customStyle="1" w:styleId="138">
    <w:name w:val="缩进正文 Char"/>
    <w:link w:val="139"/>
    <w:qFormat/>
    <w:uiPriority w:val="0"/>
    <w:rPr>
      <w:rFonts w:ascii="宋体" w:hAnsi="宋体" w:cs="Arial"/>
      <w:spacing w:val="30"/>
      <w:sz w:val="24"/>
      <w:szCs w:val="24"/>
      <w:lang w:val="en-GB" w:eastAsia="zh-CN" w:bidi="ar-SA"/>
    </w:rPr>
  </w:style>
  <w:style w:type="paragraph" w:customStyle="1" w:styleId="139">
    <w:name w:val="缩进正文"/>
    <w:link w:val="138"/>
    <w:qFormat/>
    <w:uiPriority w:val="0"/>
    <w:pPr>
      <w:adjustRightInd w:val="0"/>
      <w:snapToGrid w:val="0"/>
      <w:spacing w:beforeLines="70" w:afterLines="70" w:line="360" w:lineRule="exact"/>
      <w:ind w:left="1021"/>
      <w:jc w:val="both"/>
      <w:textAlignment w:val="baseline"/>
    </w:pPr>
    <w:rPr>
      <w:rFonts w:ascii="宋体" w:hAnsi="宋体" w:eastAsia="宋体" w:cs="Arial"/>
      <w:spacing w:val="30"/>
      <w:sz w:val="24"/>
      <w:szCs w:val="24"/>
      <w:lang w:val="en-GB" w:eastAsia="zh-CN" w:bidi="ar-SA"/>
    </w:rPr>
  </w:style>
  <w:style w:type="character" w:customStyle="1" w:styleId="140">
    <w:name w:val="Normal Char Char"/>
    <w:qFormat/>
    <w:uiPriority w:val="0"/>
    <w:rPr>
      <w:rFonts w:ascii="宋体" w:eastAsia="宋体"/>
      <w:sz w:val="34"/>
      <w:lang w:val="en-US" w:eastAsia="zh-CN" w:bidi="ar-SA"/>
    </w:rPr>
  </w:style>
  <w:style w:type="character" w:customStyle="1" w:styleId="141">
    <w:name w:val="正文文本 2 Char"/>
    <w:link w:val="67"/>
    <w:qFormat/>
    <w:uiPriority w:val="0"/>
    <w:rPr>
      <w:rFonts w:ascii="Tahoma" w:hAnsi="Tahoma" w:eastAsia="Times New Roman"/>
      <w:kern w:val="2"/>
      <w:sz w:val="21"/>
      <w:szCs w:val="24"/>
      <w:lang w:val="en-US" w:eastAsia="zh-CN"/>
    </w:rPr>
  </w:style>
  <w:style w:type="character" w:customStyle="1" w:styleId="142">
    <w:name w:val="明显参考11"/>
    <w:qFormat/>
    <w:uiPriority w:val="0"/>
    <w:rPr>
      <w:b/>
      <w:bCs/>
      <w:smallCaps/>
      <w:color w:val="C0504D"/>
      <w:spacing w:val="5"/>
      <w:u w:val="single"/>
    </w:rPr>
  </w:style>
  <w:style w:type="character" w:customStyle="1" w:styleId="143">
    <w:name w:val="Closing Char"/>
    <w:qFormat/>
    <w:locked/>
    <w:uiPriority w:val="0"/>
    <w:rPr>
      <w:rFonts w:ascii="Tahoma" w:hAnsi="Tahoma" w:eastAsia="宋体"/>
      <w:kern w:val="2"/>
      <w:sz w:val="28"/>
      <w:szCs w:val="24"/>
      <w:lang w:val="en-US" w:eastAsia="zh-CN" w:bidi="ar-SA"/>
    </w:rPr>
  </w:style>
  <w:style w:type="character" w:customStyle="1" w:styleId="144">
    <w:name w:val="Char Char22"/>
    <w:qFormat/>
    <w:uiPriority w:val="0"/>
    <w:rPr>
      <w:rFonts w:ascii="Times New Roman Bold" w:hAnsi="Times New Roman Bold" w:eastAsia="宋体" w:cs="Times New Roman Bold"/>
      <w:color w:val="000000"/>
      <w:kern w:val="2"/>
      <w:sz w:val="21"/>
      <w:szCs w:val="24"/>
      <w:u w:color="000000"/>
      <w:lang w:val="en-US" w:eastAsia="zh-CN" w:bidi="ar-SA"/>
    </w:rPr>
  </w:style>
  <w:style w:type="character" w:customStyle="1" w:styleId="145">
    <w:name w:val="正文文本 Char1"/>
    <w:qFormat/>
    <w:uiPriority w:val="0"/>
    <w:rPr>
      <w:kern w:val="2"/>
      <w:sz w:val="21"/>
      <w:szCs w:val="22"/>
    </w:rPr>
  </w:style>
  <w:style w:type="character" w:customStyle="1" w:styleId="146">
    <w:name w:val="结束语 Char2"/>
    <w:semiHidden/>
    <w:qFormat/>
    <w:uiPriority w:val="0"/>
    <w:rPr>
      <w:rFonts w:ascii="Tahoma" w:hAnsi="Tahoma"/>
      <w:kern w:val="2"/>
      <w:sz w:val="21"/>
      <w:szCs w:val="24"/>
    </w:rPr>
  </w:style>
  <w:style w:type="character" w:customStyle="1" w:styleId="147">
    <w:name w:val="日期 Char"/>
    <w:link w:val="46"/>
    <w:qFormat/>
    <w:uiPriority w:val="0"/>
    <w:rPr>
      <w:kern w:val="2"/>
      <w:sz w:val="24"/>
    </w:rPr>
  </w:style>
  <w:style w:type="character" w:customStyle="1" w:styleId="148">
    <w:name w:val="Char Char36"/>
    <w:qFormat/>
    <w:uiPriority w:val="0"/>
    <w:rPr>
      <w:rFonts w:ascii="Arial" w:hAnsi="Arial" w:eastAsia="黑体"/>
      <w:kern w:val="2"/>
      <w:sz w:val="21"/>
      <w:szCs w:val="21"/>
      <w:lang w:bidi="ar-SA"/>
    </w:rPr>
  </w:style>
  <w:style w:type="character" w:customStyle="1" w:styleId="149">
    <w:name w:val="批注文字 Char"/>
    <w:link w:val="13"/>
    <w:qFormat/>
    <w:uiPriority w:val="0"/>
    <w:rPr>
      <w:rFonts w:ascii="Tahoma" w:hAnsi="Tahoma" w:eastAsia="宋体"/>
      <w:kern w:val="2"/>
      <w:sz w:val="21"/>
      <w:szCs w:val="24"/>
      <w:lang w:val="en-US" w:eastAsia="zh-CN" w:bidi="ar-SA"/>
    </w:rPr>
  </w:style>
  <w:style w:type="character" w:customStyle="1" w:styleId="150">
    <w:name w:val="文档结构图 Char1"/>
    <w:qFormat/>
    <w:uiPriority w:val="0"/>
    <w:rPr>
      <w:rFonts w:ascii="宋体"/>
      <w:kern w:val="2"/>
      <w:sz w:val="18"/>
      <w:szCs w:val="18"/>
    </w:rPr>
  </w:style>
  <w:style w:type="character" w:customStyle="1" w:styleId="151">
    <w:name w:val="页眉 Char"/>
    <w:link w:val="53"/>
    <w:qFormat/>
    <w:uiPriority w:val="0"/>
    <w:rPr>
      <w:kern w:val="2"/>
      <w:sz w:val="18"/>
      <w:szCs w:val="18"/>
    </w:rPr>
  </w:style>
  <w:style w:type="character" w:customStyle="1" w:styleId="152">
    <w:name w:val="标题 Char2"/>
    <w:qFormat/>
    <w:uiPriority w:val="0"/>
    <w:rPr>
      <w:rFonts w:ascii="Cambria" w:hAnsi="Cambria" w:cs="Times New Roman"/>
      <w:b/>
      <w:bCs/>
      <w:kern w:val="2"/>
      <w:sz w:val="32"/>
      <w:szCs w:val="32"/>
    </w:rPr>
  </w:style>
  <w:style w:type="character" w:customStyle="1" w:styleId="153">
    <w:name w:val="正文文本 3 Char1"/>
    <w:semiHidden/>
    <w:qFormat/>
    <w:uiPriority w:val="0"/>
    <w:rPr>
      <w:sz w:val="16"/>
      <w:szCs w:val="16"/>
      <w:lang w:eastAsia="en-US"/>
    </w:rPr>
  </w:style>
  <w:style w:type="character" w:customStyle="1" w:styleId="154">
    <w:name w:val="脚注文本 Char1"/>
    <w:semiHidden/>
    <w:qFormat/>
    <w:uiPriority w:val="0"/>
    <w:rPr>
      <w:sz w:val="18"/>
      <w:szCs w:val="18"/>
      <w:lang w:eastAsia="en-US"/>
    </w:rPr>
  </w:style>
  <w:style w:type="character" w:customStyle="1" w:styleId="155">
    <w:name w:val="注释标题 Char"/>
    <w:link w:val="19"/>
    <w:qFormat/>
    <w:uiPriority w:val="0"/>
    <w:rPr>
      <w:rFonts w:ascii="Tahoma" w:hAnsi="Tahoma" w:eastAsia="仿宋_GB2312"/>
      <w:kern w:val="2"/>
      <w:sz w:val="32"/>
      <w:szCs w:val="20"/>
      <w:lang w:val="en-US" w:eastAsia="zh-CN"/>
    </w:rPr>
  </w:style>
  <w:style w:type="character" w:customStyle="1" w:styleId="156">
    <w:name w:val="Hyperlink.0"/>
    <w:qFormat/>
    <w:uiPriority w:val="0"/>
    <w:rPr>
      <w:color w:val="000000"/>
      <w:u w:color="000000"/>
    </w:rPr>
  </w:style>
  <w:style w:type="character" w:customStyle="1" w:styleId="157">
    <w:name w:val="副标题 Char"/>
    <w:link w:val="58"/>
    <w:qFormat/>
    <w:uiPriority w:val="0"/>
    <w:rPr>
      <w:rFonts w:ascii="Cambria" w:hAnsi="Cambria"/>
      <w:b/>
      <w:bCs/>
      <w:kern w:val="28"/>
      <w:sz w:val="32"/>
      <w:szCs w:val="32"/>
    </w:rPr>
  </w:style>
  <w:style w:type="character" w:customStyle="1" w:styleId="158">
    <w:name w:val="Char Char15"/>
    <w:qFormat/>
    <w:uiPriority w:val="0"/>
    <w:rPr>
      <w:rFonts w:ascii="Arial" w:hAnsi="Arial" w:eastAsia="黑体"/>
      <w:b/>
      <w:bCs/>
      <w:kern w:val="2"/>
      <w:sz w:val="28"/>
      <w:szCs w:val="28"/>
    </w:rPr>
  </w:style>
  <w:style w:type="character" w:customStyle="1" w:styleId="159">
    <w:name w:val="文档结构图 Char Char"/>
    <w:link w:val="160"/>
    <w:qFormat/>
    <w:uiPriority w:val="0"/>
    <w:rPr>
      <w:szCs w:val="24"/>
      <w:shd w:val="clear" w:color="auto" w:fill="000080"/>
      <w:lang w:bidi="ar-SA"/>
    </w:rPr>
  </w:style>
  <w:style w:type="paragraph" w:customStyle="1" w:styleId="160">
    <w:name w:val="文档结构图1"/>
    <w:basedOn w:val="1"/>
    <w:link w:val="159"/>
    <w:qFormat/>
    <w:uiPriority w:val="0"/>
    <w:pPr>
      <w:shd w:val="clear" w:color="auto" w:fill="000080"/>
    </w:pPr>
    <w:rPr>
      <w:kern w:val="0"/>
      <w:sz w:val="20"/>
      <w:shd w:val="clear" w:color="auto" w:fill="000080"/>
      <w:lang w:val="zh-CN"/>
    </w:rPr>
  </w:style>
  <w:style w:type="character" w:customStyle="1" w:styleId="161">
    <w:name w:val="Char Char33"/>
    <w:qFormat/>
    <w:uiPriority w:val="0"/>
    <w:rPr>
      <w:rFonts w:ascii="黑体" w:hAnsi="宋体" w:eastAsia="黑体"/>
      <w:bCs/>
      <w:kern w:val="2"/>
      <w:sz w:val="24"/>
      <w:szCs w:val="28"/>
    </w:rPr>
  </w:style>
  <w:style w:type="character" w:customStyle="1" w:styleId="162">
    <w:name w:val="apple-converted-space"/>
    <w:basedOn w:val="76"/>
    <w:qFormat/>
    <w:uiPriority w:val="0"/>
    <w:rPr>
      <w:rFonts w:ascii="Tahoma" w:hAnsi="Tahoma"/>
      <w:sz w:val="24"/>
      <w:szCs w:val="20"/>
    </w:rPr>
  </w:style>
  <w:style w:type="character" w:customStyle="1" w:styleId="163">
    <w:name w:val="Char Char25"/>
    <w:qFormat/>
    <w:uiPriority w:val="0"/>
    <w:rPr>
      <w:rFonts w:eastAsia="宋体"/>
      <w:b/>
      <w:bCs/>
      <w:kern w:val="2"/>
      <w:sz w:val="21"/>
      <w:szCs w:val="24"/>
      <w:lang w:val="en-US" w:eastAsia="zh-CN" w:bidi="ar-SA"/>
    </w:rPr>
  </w:style>
  <w:style w:type="character" w:customStyle="1" w:styleId="164">
    <w:name w:val="Char Char21"/>
    <w:qFormat/>
    <w:uiPriority w:val="0"/>
    <w:rPr>
      <w:rFonts w:eastAsia="宋体"/>
      <w:kern w:val="2"/>
      <w:sz w:val="18"/>
      <w:szCs w:val="18"/>
      <w:lang w:val="en-US" w:eastAsia="zh-CN" w:bidi="ar-SA"/>
    </w:rPr>
  </w:style>
  <w:style w:type="character" w:customStyle="1" w:styleId="165">
    <w:name w:val="Char Char2"/>
    <w:qFormat/>
    <w:uiPriority w:val="0"/>
    <w:rPr>
      <w:kern w:val="2"/>
      <w:sz w:val="18"/>
      <w:szCs w:val="18"/>
    </w:rPr>
  </w:style>
  <w:style w:type="character" w:customStyle="1" w:styleId="166">
    <w:name w:val="Char Char37"/>
    <w:qFormat/>
    <w:uiPriority w:val="0"/>
    <w:rPr>
      <w:rFonts w:ascii="Arial" w:hAnsi="Arial" w:eastAsia="黑体"/>
      <w:kern w:val="2"/>
      <w:sz w:val="24"/>
      <w:szCs w:val="24"/>
      <w:lang w:bidi="ar-SA"/>
    </w:rPr>
  </w:style>
  <w:style w:type="character" w:customStyle="1" w:styleId="167">
    <w:name w:val="Plain Text Char"/>
    <w:qFormat/>
    <w:locked/>
    <w:uiPriority w:val="0"/>
    <w:rPr>
      <w:rFonts w:ascii="宋体" w:hAnsi="Courier New" w:eastAsia="宋体"/>
      <w:kern w:val="2"/>
      <w:sz w:val="21"/>
      <w:szCs w:val="21"/>
      <w:lang w:val="en-US" w:eastAsia="zh-CN" w:bidi="ar-SA"/>
    </w:rPr>
  </w:style>
  <w:style w:type="character" w:customStyle="1" w:styleId="168">
    <w:name w:val="textcontents"/>
    <w:qFormat/>
    <w:uiPriority w:val="0"/>
    <w:rPr>
      <w:rFonts w:cs="Times New Roman"/>
    </w:rPr>
  </w:style>
  <w:style w:type="character" w:customStyle="1" w:styleId="169">
    <w:name w:val="签名 Char1"/>
    <w:semiHidden/>
    <w:qFormat/>
    <w:uiPriority w:val="0"/>
    <w:rPr>
      <w:sz w:val="24"/>
      <w:szCs w:val="24"/>
      <w:lang w:eastAsia="en-US"/>
    </w:rPr>
  </w:style>
  <w:style w:type="character" w:customStyle="1" w:styleId="170">
    <w:name w:val="Char Char8"/>
    <w:qFormat/>
    <w:uiPriority w:val="0"/>
    <w:rPr>
      <w:rFonts w:ascii="Arial" w:hAnsi="Arial"/>
      <w:b/>
      <w:sz w:val="32"/>
    </w:rPr>
  </w:style>
  <w:style w:type="character" w:customStyle="1" w:styleId="171">
    <w:name w:val="称呼 Char2"/>
    <w:semiHidden/>
    <w:qFormat/>
    <w:uiPriority w:val="0"/>
    <w:rPr>
      <w:rFonts w:ascii="Tahoma" w:hAnsi="Tahoma"/>
      <w:kern w:val="2"/>
      <w:sz w:val="21"/>
      <w:szCs w:val="24"/>
    </w:rPr>
  </w:style>
  <w:style w:type="character" w:customStyle="1" w:styleId="172">
    <w:name w:val="引用 Char Char Char"/>
    <w:qFormat/>
    <w:uiPriority w:val="0"/>
    <w:rPr>
      <w:i/>
      <w:iCs/>
      <w:color w:val="000000"/>
      <w:kern w:val="2"/>
      <w:sz w:val="21"/>
      <w:szCs w:val="22"/>
      <w:lang w:bidi="ar-SA"/>
    </w:rPr>
  </w:style>
  <w:style w:type="character" w:customStyle="1" w:styleId="173">
    <w:name w:val="Char Char40"/>
    <w:qFormat/>
    <w:uiPriority w:val="0"/>
    <w:rPr>
      <w:rFonts w:ascii="Arial" w:hAnsi="Arial" w:eastAsia="黑体"/>
      <w:b/>
      <w:bCs/>
      <w:kern w:val="2"/>
      <w:sz w:val="32"/>
      <w:szCs w:val="32"/>
      <w:lang w:val="en-US" w:eastAsia="zh-CN" w:bidi="ar-SA"/>
    </w:rPr>
  </w:style>
  <w:style w:type="character" w:customStyle="1" w:styleId="174">
    <w:name w:val="批注文字 Char Char Char"/>
    <w:qFormat/>
    <w:uiPriority w:val="0"/>
    <w:rPr>
      <w:kern w:val="2"/>
      <w:sz w:val="21"/>
      <w:szCs w:val="22"/>
    </w:rPr>
  </w:style>
  <w:style w:type="character" w:customStyle="1" w:styleId="175">
    <w:name w:val="正文文本缩进 3 Char"/>
    <w:qFormat/>
    <w:uiPriority w:val="0"/>
    <w:rPr>
      <w:rFonts w:ascii="Tahoma" w:hAnsi="Tahoma"/>
      <w:kern w:val="2"/>
      <w:sz w:val="16"/>
      <w:szCs w:val="16"/>
    </w:rPr>
  </w:style>
  <w:style w:type="character" w:customStyle="1" w:styleId="176">
    <w:name w:val="纯文本 Char1"/>
    <w:semiHidden/>
    <w:qFormat/>
    <w:uiPriority w:val="0"/>
    <w:rPr>
      <w:rFonts w:ascii="宋体" w:hAnsi="Courier New" w:cs="Courier New"/>
      <w:kern w:val="2"/>
      <w:sz w:val="21"/>
      <w:szCs w:val="21"/>
    </w:rPr>
  </w:style>
  <w:style w:type="character" w:customStyle="1" w:styleId="177">
    <w:name w:val="apple"/>
    <w:basedOn w:val="76"/>
    <w:qFormat/>
    <w:uiPriority w:val="0"/>
    <w:rPr>
      <w:rFonts w:ascii="Tahoma" w:hAnsi="Tahoma"/>
      <w:sz w:val="24"/>
      <w:szCs w:val="20"/>
    </w:rPr>
  </w:style>
  <w:style w:type="character" w:customStyle="1" w:styleId="178">
    <w:name w:val="引用 Char Char"/>
    <w:qFormat/>
    <w:uiPriority w:val="0"/>
    <w:rPr>
      <w:i/>
      <w:iCs/>
      <w:color w:val="000000"/>
      <w:kern w:val="2"/>
      <w:sz w:val="21"/>
      <w:szCs w:val="22"/>
    </w:rPr>
  </w:style>
  <w:style w:type="character" w:customStyle="1" w:styleId="179">
    <w:name w:val="Char Char9"/>
    <w:qFormat/>
    <w:uiPriority w:val="0"/>
    <w:rPr>
      <w:rFonts w:ascii="Tahoma" w:hAnsi="Tahoma" w:eastAsia="宋体"/>
      <w:kern w:val="2"/>
      <w:sz w:val="21"/>
      <w:szCs w:val="24"/>
      <w:lang w:val="en-US" w:eastAsia="zh-CN" w:bidi="ar-SA"/>
    </w:rPr>
  </w:style>
  <w:style w:type="character" w:customStyle="1" w:styleId="180">
    <w:name w:val="正文首行缩进 2 Char"/>
    <w:link w:val="52"/>
    <w:qFormat/>
    <w:uiPriority w:val="0"/>
    <w:rPr>
      <w:rFonts w:ascii="Tahoma" w:hAnsi="Tahoma" w:eastAsia="仿宋_GB2312"/>
      <w:kern w:val="2"/>
      <w:sz w:val="32"/>
      <w:szCs w:val="24"/>
    </w:rPr>
  </w:style>
  <w:style w:type="character" w:customStyle="1" w:styleId="181">
    <w:name w:val="Char Char27"/>
    <w:qFormat/>
    <w:uiPriority w:val="0"/>
    <w:rPr>
      <w:rFonts w:eastAsia="宋体"/>
      <w:kern w:val="2"/>
      <w:sz w:val="18"/>
      <w:szCs w:val="18"/>
      <w:lang w:val="en-US" w:eastAsia="zh-CN" w:bidi="ar-SA"/>
    </w:rPr>
  </w:style>
  <w:style w:type="character" w:customStyle="1" w:styleId="182">
    <w:name w:val="Char Char28"/>
    <w:qFormat/>
    <w:uiPriority w:val="0"/>
    <w:rPr>
      <w:rFonts w:eastAsia="宋体"/>
      <w:sz w:val="18"/>
      <w:szCs w:val="18"/>
      <w:lang w:eastAsia="en-US" w:bidi="ar-SA"/>
    </w:rPr>
  </w:style>
  <w:style w:type="character" w:customStyle="1" w:styleId="183">
    <w:name w:val="Char Char23"/>
    <w:semiHidden/>
    <w:qFormat/>
    <w:uiPriority w:val="0"/>
    <w:rPr>
      <w:rFonts w:eastAsia="宋体"/>
      <w:sz w:val="24"/>
      <w:szCs w:val="24"/>
      <w:lang w:eastAsia="en-US" w:bidi="ar-SA"/>
    </w:rPr>
  </w:style>
  <w:style w:type="character" w:customStyle="1" w:styleId="184">
    <w:name w:val="批注引用1"/>
    <w:qFormat/>
    <w:uiPriority w:val="0"/>
    <w:rPr>
      <w:rFonts w:cs="Times New Roman"/>
      <w:sz w:val="21"/>
      <w:szCs w:val="21"/>
    </w:rPr>
  </w:style>
  <w:style w:type="character" w:customStyle="1" w:styleId="185">
    <w:name w:val="正文文本 Char2"/>
    <w:qFormat/>
    <w:uiPriority w:val="99"/>
    <w:rPr>
      <w:kern w:val="2"/>
      <w:sz w:val="21"/>
      <w:szCs w:val="24"/>
    </w:rPr>
  </w:style>
  <w:style w:type="character" w:customStyle="1" w:styleId="186">
    <w:name w:val="标题 5 Char Char"/>
    <w:qFormat/>
    <w:uiPriority w:val="0"/>
    <w:rPr>
      <w:b/>
      <w:bCs/>
      <w:kern w:val="2"/>
      <w:sz w:val="28"/>
      <w:szCs w:val="28"/>
    </w:rPr>
  </w:style>
  <w:style w:type="character" w:customStyle="1" w:styleId="187">
    <w:name w:val="Char Char32"/>
    <w:qFormat/>
    <w:uiPriority w:val="0"/>
    <w:rPr>
      <w:rFonts w:ascii="Arial" w:hAnsi="Arial" w:eastAsia="黑体"/>
      <w:b/>
      <w:bCs/>
      <w:kern w:val="2"/>
      <w:sz w:val="24"/>
      <w:szCs w:val="28"/>
    </w:rPr>
  </w:style>
  <w:style w:type="character" w:customStyle="1" w:styleId="188">
    <w:name w:val="正文文本缩进 3 Char1"/>
    <w:semiHidden/>
    <w:qFormat/>
    <w:uiPriority w:val="0"/>
    <w:rPr>
      <w:sz w:val="16"/>
      <w:szCs w:val="16"/>
      <w:lang w:eastAsia="en-US"/>
    </w:rPr>
  </w:style>
  <w:style w:type="character" w:customStyle="1" w:styleId="189">
    <w:name w:val="正文文本 Char Char"/>
    <w:qFormat/>
    <w:uiPriority w:val="0"/>
    <w:rPr>
      <w:rFonts w:ascii="Times New Roman" w:hAnsi="Times New Roman"/>
    </w:rPr>
  </w:style>
  <w:style w:type="character" w:customStyle="1" w:styleId="190">
    <w:name w:val="标题 3 Char Char"/>
    <w:qFormat/>
    <w:uiPriority w:val="0"/>
    <w:rPr>
      <w:b/>
      <w:bCs/>
      <w:kern w:val="2"/>
      <w:sz w:val="32"/>
      <w:szCs w:val="32"/>
    </w:rPr>
  </w:style>
  <w:style w:type="character" w:customStyle="1" w:styleId="191">
    <w:name w:val="标题 9 Char"/>
    <w:link w:val="10"/>
    <w:qFormat/>
    <w:uiPriority w:val="0"/>
    <w:rPr>
      <w:rFonts w:ascii="Arial" w:hAnsi="Arial" w:eastAsia="黑体"/>
      <w:sz w:val="21"/>
      <w:szCs w:val="21"/>
    </w:rPr>
  </w:style>
  <w:style w:type="character" w:customStyle="1" w:styleId="192">
    <w:name w:val="签名 Char2"/>
    <w:semiHidden/>
    <w:qFormat/>
    <w:uiPriority w:val="0"/>
    <w:rPr>
      <w:rFonts w:ascii="Tahoma" w:hAnsi="Tahoma"/>
      <w:kern w:val="2"/>
      <w:sz w:val="21"/>
      <w:szCs w:val="24"/>
    </w:rPr>
  </w:style>
  <w:style w:type="character" w:customStyle="1" w:styleId="193">
    <w:name w:val="Comment Subject Char"/>
    <w:qFormat/>
    <w:locked/>
    <w:uiPriority w:val="0"/>
    <w:rPr>
      <w:rFonts w:ascii="Tahoma" w:hAnsi="Tahoma" w:eastAsia="宋体"/>
      <w:b/>
      <w:bCs/>
      <w:kern w:val="2"/>
      <w:sz w:val="21"/>
      <w:szCs w:val="24"/>
      <w:lang w:val="en-US" w:eastAsia="zh-CN" w:bidi="ar-SA"/>
    </w:rPr>
  </w:style>
  <w:style w:type="character" w:customStyle="1" w:styleId="194">
    <w:name w:val="标题 Char1"/>
    <w:qFormat/>
    <w:uiPriority w:val="10"/>
    <w:rPr>
      <w:rFonts w:ascii="Cambria" w:hAnsi="Cambria" w:cs="Times New Roman"/>
      <w:b/>
      <w:bCs/>
      <w:sz w:val="32"/>
      <w:szCs w:val="32"/>
      <w:lang w:eastAsia="en-US"/>
    </w:rPr>
  </w:style>
  <w:style w:type="character" w:customStyle="1" w:styleId="195">
    <w:name w:val="Char Char10"/>
    <w:qFormat/>
    <w:uiPriority w:val="0"/>
    <w:rPr>
      <w:rFonts w:ascii="Arial" w:hAnsi="Arial" w:eastAsia="黑体"/>
      <w:sz w:val="21"/>
      <w:szCs w:val="21"/>
    </w:rPr>
  </w:style>
  <w:style w:type="character" w:customStyle="1" w:styleId="196">
    <w:name w:val="Char Char4"/>
    <w:qFormat/>
    <w:uiPriority w:val="0"/>
    <w:rPr>
      <w:kern w:val="2"/>
      <w:sz w:val="21"/>
      <w:szCs w:val="24"/>
    </w:rPr>
  </w:style>
  <w:style w:type="character" w:customStyle="1" w:styleId="197">
    <w:name w:val="标题 4 Char"/>
    <w:link w:val="5"/>
    <w:qFormat/>
    <w:uiPriority w:val="0"/>
    <w:rPr>
      <w:rFonts w:ascii="Arial" w:hAnsi="Arial" w:eastAsia="黑体"/>
      <w:b/>
      <w:bCs/>
      <w:kern w:val="2"/>
      <w:sz w:val="28"/>
      <w:szCs w:val="28"/>
    </w:rPr>
  </w:style>
  <w:style w:type="character" w:customStyle="1" w:styleId="198">
    <w:name w:val="Char Char11"/>
    <w:qFormat/>
    <w:uiPriority w:val="0"/>
    <w:rPr>
      <w:rFonts w:ascii="Arial" w:hAnsi="Arial" w:eastAsia="黑体"/>
      <w:sz w:val="24"/>
      <w:szCs w:val="24"/>
    </w:rPr>
  </w:style>
  <w:style w:type="character" w:customStyle="1" w:styleId="199">
    <w:name w:val="Char Char29"/>
    <w:qFormat/>
    <w:uiPriority w:val="0"/>
    <w:rPr>
      <w:rFonts w:eastAsia="宋体"/>
      <w:kern w:val="2"/>
      <w:sz w:val="21"/>
      <w:szCs w:val="24"/>
      <w:lang w:val="en-US" w:eastAsia="zh-CN" w:bidi="ar-SA"/>
    </w:rPr>
  </w:style>
  <w:style w:type="character" w:customStyle="1" w:styleId="200">
    <w:name w:val="标题 7 Char"/>
    <w:link w:val="8"/>
    <w:qFormat/>
    <w:uiPriority w:val="0"/>
    <w:rPr>
      <w:b/>
      <w:bCs/>
      <w:sz w:val="24"/>
      <w:szCs w:val="24"/>
    </w:rPr>
  </w:style>
  <w:style w:type="character" w:customStyle="1" w:styleId="201">
    <w:name w:val="页眉 Char Char"/>
    <w:qFormat/>
    <w:uiPriority w:val="0"/>
    <w:rPr>
      <w:kern w:val="2"/>
      <w:sz w:val="18"/>
      <w:szCs w:val="18"/>
    </w:rPr>
  </w:style>
  <w:style w:type="character" w:customStyle="1" w:styleId="202">
    <w:name w:val="明显引用 Char Char"/>
    <w:qFormat/>
    <w:uiPriority w:val="0"/>
    <w:rPr>
      <w:b/>
      <w:bCs/>
      <w:i/>
      <w:iCs/>
      <w:color w:val="4F81BD"/>
      <w:kern w:val="2"/>
      <w:sz w:val="21"/>
      <w:szCs w:val="22"/>
    </w:rPr>
  </w:style>
  <w:style w:type="character" w:customStyle="1" w:styleId="203">
    <w:name w:val="正文首行缩进 2 Char Char"/>
    <w:qFormat/>
    <w:uiPriority w:val="0"/>
    <w:rPr>
      <w:rFonts w:eastAsia="仿宋_GB2312"/>
      <w:kern w:val="2"/>
      <w:sz w:val="32"/>
      <w:szCs w:val="24"/>
    </w:rPr>
  </w:style>
  <w:style w:type="character" w:customStyle="1" w:styleId="204">
    <w:name w:val="Char Char39"/>
    <w:qFormat/>
    <w:uiPriority w:val="0"/>
    <w:rPr>
      <w:rFonts w:ascii="Arial" w:hAnsi="Arial" w:eastAsia="黑体"/>
      <w:b/>
      <w:bCs/>
      <w:kern w:val="2"/>
      <w:sz w:val="24"/>
      <w:szCs w:val="24"/>
      <w:lang w:bidi="ar-SA"/>
    </w:rPr>
  </w:style>
  <w:style w:type="character" w:customStyle="1" w:styleId="205">
    <w:name w:val="Char Char35"/>
    <w:qFormat/>
    <w:uiPriority w:val="0"/>
    <w:rPr>
      <w:b/>
      <w:bCs/>
      <w:kern w:val="44"/>
      <w:sz w:val="36"/>
      <w:szCs w:val="44"/>
    </w:rPr>
  </w:style>
  <w:style w:type="character" w:customStyle="1" w:styleId="206">
    <w:name w:val="正文文本缩进 2 Char1"/>
    <w:semiHidden/>
    <w:qFormat/>
    <w:uiPriority w:val="0"/>
    <w:rPr>
      <w:sz w:val="24"/>
      <w:szCs w:val="24"/>
      <w:lang w:eastAsia="en-US"/>
    </w:rPr>
  </w:style>
  <w:style w:type="character" w:customStyle="1" w:styleId="207">
    <w:name w:val="Date Char"/>
    <w:qFormat/>
    <w:locked/>
    <w:uiPriority w:val="0"/>
    <w:rPr>
      <w:rFonts w:ascii="Tahoma" w:hAnsi="Tahoma" w:eastAsia="宋体"/>
      <w:kern w:val="2"/>
      <w:sz w:val="24"/>
      <w:szCs w:val="20"/>
      <w:lang w:val="en-US" w:eastAsia="zh-CN" w:bidi="ar-SA"/>
    </w:rPr>
  </w:style>
  <w:style w:type="character" w:customStyle="1" w:styleId="208">
    <w:name w:val="批注框文本 Char"/>
    <w:link w:val="49"/>
    <w:qFormat/>
    <w:uiPriority w:val="0"/>
    <w:rPr>
      <w:kern w:val="2"/>
      <w:sz w:val="18"/>
      <w:szCs w:val="18"/>
    </w:rPr>
  </w:style>
  <w:style w:type="character" w:customStyle="1" w:styleId="209">
    <w:name w:val="Heading 1 Char"/>
    <w:qFormat/>
    <w:locked/>
    <w:uiPriority w:val="0"/>
    <w:rPr>
      <w:rFonts w:ascii="Tahoma" w:hAnsi="Tahoma" w:eastAsia="宋体"/>
      <w:b/>
      <w:bCs/>
      <w:kern w:val="44"/>
      <w:sz w:val="36"/>
      <w:szCs w:val="28"/>
      <w:lang w:val="en-US" w:eastAsia="zh-CN" w:bidi="ar-SA"/>
    </w:rPr>
  </w:style>
  <w:style w:type="character" w:customStyle="1" w:styleId="210">
    <w:name w:val="明显强调1"/>
    <w:qFormat/>
    <w:uiPriority w:val="0"/>
    <w:rPr>
      <w:b/>
      <w:bCs/>
      <w:i/>
      <w:iCs/>
      <w:color w:val="4F81BD"/>
    </w:rPr>
  </w:style>
  <w:style w:type="character" w:customStyle="1" w:styleId="211">
    <w:name w:val="结束语 Char1"/>
    <w:semiHidden/>
    <w:qFormat/>
    <w:uiPriority w:val="0"/>
    <w:rPr>
      <w:sz w:val="24"/>
      <w:szCs w:val="24"/>
      <w:lang w:eastAsia="en-US"/>
    </w:rPr>
  </w:style>
  <w:style w:type="character" w:customStyle="1" w:styleId="212">
    <w:name w:val="批注文字 Char Char"/>
    <w:qFormat/>
    <w:uiPriority w:val="0"/>
    <w:rPr>
      <w:rFonts w:ascii="宋体" w:hAnsi="Times New Roman" w:eastAsia="宋体" w:cs="Times New Roman"/>
      <w:sz w:val="28"/>
      <w:szCs w:val="20"/>
    </w:rPr>
  </w:style>
  <w:style w:type="character" w:customStyle="1" w:styleId="213">
    <w:name w:val="标题4 Char Char"/>
    <w:link w:val="214"/>
    <w:qFormat/>
    <w:uiPriority w:val="0"/>
    <w:rPr>
      <w:rFonts w:ascii="Arial" w:hAnsi="Arial"/>
      <w:b/>
      <w:bCs/>
      <w:sz w:val="24"/>
      <w:szCs w:val="32"/>
    </w:rPr>
  </w:style>
  <w:style w:type="paragraph" w:customStyle="1" w:styleId="214">
    <w:name w:val="标题4"/>
    <w:basedOn w:val="3"/>
    <w:next w:val="39"/>
    <w:link w:val="213"/>
    <w:qFormat/>
    <w:uiPriority w:val="0"/>
    <w:pPr>
      <w:spacing w:line="413" w:lineRule="auto"/>
    </w:pPr>
    <w:rPr>
      <w:rFonts w:eastAsia="宋体"/>
      <w:kern w:val="0"/>
      <w:sz w:val="24"/>
      <w:lang w:val="zh-CN"/>
    </w:rPr>
  </w:style>
  <w:style w:type="character" w:customStyle="1" w:styleId="215">
    <w:name w:val="ggbt1"/>
    <w:qFormat/>
    <w:uiPriority w:val="0"/>
    <w:rPr>
      <w:rFonts w:ascii="Tahoma" w:hAnsi="Tahoma"/>
      <w:b/>
      <w:bCs/>
      <w:sz w:val="22"/>
      <w:szCs w:val="22"/>
    </w:rPr>
  </w:style>
  <w:style w:type="character" w:customStyle="1" w:styleId="216">
    <w:name w:val="Char Char38"/>
    <w:qFormat/>
    <w:uiPriority w:val="0"/>
    <w:rPr>
      <w:rFonts w:eastAsia="宋体"/>
      <w:b/>
      <w:bCs/>
      <w:kern w:val="2"/>
      <w:sz w:val="24"/>
      <w:szCs w:val="24"/>
      <w:lang w:bidi="ar-SA"/>
    </w:rPr>
  </w:style>
  <w:style w:type="character" w:customStyle="1" w:styleId="217">
    <w:name w:val="标题 2 Char Char"/>
    <w:qFormat/>
    <w:uiPriority w:val="0"/>
    <w:rPr>
      <w:rFonts w:ascii="Cambria" w:hAnsi="Cambria" w:eastAsia="宋体" w:cs="Times New Roman"/>
      <w:b/>
      <w:bCs/>
      <w:kern w:val="2"/>
      <w:sz w:val="32"/>
      <w:szCs w:val="32"/>
    </w:rPr>
  </w:style>
  <w:style w:type="character" w:customStyle="1" w:styleId="218">
    <w:name w:val="明显引用 Char1"/>
    <w:qFormat/>
    <w:uiPriority w:val="30"/>
    <w:rPr>
      <w:rFonts w:ascii="Tahoma" w:hAnsi="Tahoma"/>
      <w:b/>
      <w:bCs/>
      <w:i/>
      <w:iCs/>
      <w:color w:val="4F81BD"/>
      <w:kern w:val="2"/>
      <w:sz w:val="21"/>
      <w:szCs w:val="24"/>
    </w:rPr>
  </w:style>
  <w:style w:type="character" w:customStyle="1" w:styleId="219">
    <w:name w:val="普通文字 Char Char Char Char Char Char Char Char Char Char Char Char Char Char Char Char Char Char Char"/>
    <w:qFormat/>
    <w:uiPriority w:val="0"/>
    <w:rPr>
      <w:rFonts w:ascii="宋体" w:hAnsi="宋体" w:eastAsia="宋体"/>
      <w:color w:val="000000"/>
      <w:sz w:val="24"/>
      <w:szCs w:val="24"/>
      <w:lang w:val="en-US" w:eastAsia="zh-CN" w:bidi="ar-SA"/>
    </w:rPr>
  </w:style>
  <w:style w:type="character" w:customStyle="1" w:styleId="220">
    <w:name w:val="文档结构图 Char"/>
    <w:link w:val="27"/>
    <w:qFormat/>
    <w:uiPriority w:val="0"/>
    <w:rPr>
      <w:kern w:val="2"/>
      <w:sz w:val="21"/>
      <w:szCs w:val="24"/>
      <w:shd w:val="clear" w:color="auto" w:fill="000080"/>
    </w:rPr>
  </w:style>
  <w:style w:type="character" w:customStyle="1" w:styleId="221">
    <w:name w:val="正文文本缩进 Char1"/>
    <w:link w:val="32"/>
    <w:qFormat/>
    <w:uiPriority w:val="0"/>
    <w:rPr>
      <w:rFonts w:ascii="Tahoma" w:hAnsi="Tahoma"/>
      <w:kern w:val="2"/>
      <w:sz w:val="21"/>
      <w:szCs w:val="24"/>
    </w:rPr>
  </w:style>
  <w:style w:type="character" w:customStyle="1" w:styleId="222">
    <w:name w:val="标题 Char Char"/>
    <w:qFormat/>
    <w:uiPriority w:val="0"/>
    <w:rPr>
      <w:rFonts w:ascii="Cambria" w:hAnsi="Cambria" w:cs="Times New Roman"/>
      <w:b/>
      <w:bCs/>
      <w:kern w:val="2"/>
      <w:sz w:val="32"/>
      <w:szCs w:val="32"/>
    </w:rPr>
  </w:style>
  <w:style w:type="character" w:customStyle="1" w:styleId="223">
    <w:name w:val="页脚 Char1"/>
    <w:qFormat/>
    <w:uiPriority w:val="99"/>
    <w:rPr>
      <w:rFonts w:ascii="Times New Roman" w:hAnsi="Times New Roman" w:eastAsia="宋体" w:cs="Times New Roman"/>
      <w:sz w:val="18"/>
      <w:szCs w:val="18"/>
    </w:rPr>
  </w:style>
  <w:style w:type="character" w:customStyle="1" w:styleId="224">
    <w:name w:val="脚注文本 Char2"/>
    <w:semiHidden/>
    <w:qFormat/>
    <w:uiPriority w:val="0"/>
    <w:rPr>
      <w:rFonts w:ascii="Tahoma" w:hAnsi="Tahoma"/>
      <w:kern w:val="2"/>
      <w:sz w:val="18"/>
      <w:szCs w:val="18"/>
    </w:rPr>
  </w:style>
  <w:style w:type="character" w:customStyle="1" w:styleId="225">
    <w:name w:val="Header Char"/>
    <w:semiHidden/>
    <w:qFormat/>
    <w:locked/>
    <w:uiPriority w:val="0"/>
    <w:rPr>
      <w:rFonts w:ascii="Tahoma" w:hAnsi="Tahoma" w:eastAsia="宋体"/>
      <w:kern w:val="2"/>
      <w:sz w:val="18"/>
      <w:szCs w:val="18"/>
      <w:lang w:val="en-US" w:eastAsia="zh-CN" w:bidi="ar-SA"/>
    </w:rPr>
  </w:style>
  <w:style w:type="character" w:customStyle="1" w:styleId="226">
    <w:name w:val="页脚 Char"/>
    <w:link w:val="50"/>
    <w:qFormat/>
    <w:uiPriority w:val="99"/>
    <w:rPr>
      <w:kern w:val="2"/>
      <w:sz w:val="18"/>
      <w:szCs w:val="18"/>
    </w:rPr>
  </w:style>
  <w:style w:type="character" w:customStyle="1" w:styleId="227">
    <w:name w:val="HTML 地址 Char1"/>
    <w:semiHidden/>
    <w:qFormat/>
    <w:uiPriority w:val="0"/>
    <w:rPr>
      <w:i/>
      <w:iCs/>
      <w:sz w:val="24"/>
      <w:szCs w:val="24"/>
      <w:lang w:eastAsia="en-US"/>
    </w:rPr>
  </w:style>
  <w:style w:type="character" w:customStyle="1" w:styleId="228">
    <w:name w:val="明显引用 Char Char Char"/>
    <w:link w:val="229"/>
    <w:qFormat/>
    <w:uiPriority w:val="0"/>
    <w:rPr>
      <w:b/>
      <w:bCs/>
      <w:i/>
      <w:iCs/>
      <w:color w:val="4F81BD"/>
      <w:kern w:val="2"/>
      <w:sz w:val="21"/>
      <w:szCs w:val="22"/>
      <w:lang w:bidi="ar-SA"/>
    </w:rPr>
  </w:style>
  <w:style w:type="paragraph" w:customStyle="1" w:styleId="229">
    <w:name w:val="明显引用1"/>
    <w:basedOn w:val="1"/>
    <w:next w:val="1"/>
    <w:link w:val="228"/>
    <w:qFormat/>
    <w:uiPriority w:val="0"/>
    <w:pPr>
      <w:pBdr>
        <w:bottom w:val="single" w:color="4F81BD" w:sz="4" w:space="4"/>
      </w:pBdr>
      <w:spacing w:before="200" w:after="280"/>
      <w:ind w:left="936" w:right="936"/>
    </w:pPr>
    <w:rPr>
      <w:b/>
      <w:bCs/>
      <w:i/>
      <w:iCs/>
      <w:color w:val="4F81BD"/>
      <w:szCs w:val="22"/>
      <w:lang w:val="zh-CN"/>
    </w:rPr>
  </w:style>
  <w:style w:type="character" w:customStyle="1" w:styleId="230">
    <w:name w:val="HTML 地址 Char2"/>
    <w:semiHidden/>
    <w:qFormat/>
    <w:uiPriority w:val="0"/>
    <w:rPr>
      <w:rFonts w:ascii="Tahoma" w:hAnsi="Tahoma"/>
      <w:i/>
      <w:iCs/>
      <w:kern w:val="2"/>
      <w:sz w:val="21"/>
      <w:szCs w:val="24"/>
    </w:rPr>
  </w:style>
  <w:style w:type="character" w:customStyle="1" w:styleId="231">
    <w:name w:val="正文文本缩进 3 Char2"/>
    <w:link w:val="64"/>
    <w:qFormat/>
    <w:uiPriority w:val="0"/>
    <w:rPr>
      <w:rFonts w:ascii="Tahoma" w:hAnsi="Tahoma"/>
      <w:kern w:val="2"/>
      <w:sz w:val="16"/>
      <w:szCs w:val="16"/>
    </w:rPr>
  </w:style>
  <w:style w:type="character" w:customStyle="1" w:styleId="232">
    <w:name w:val="Body Text Indent 2 Char"/>
    <w:qFormat/>
    <w:locked/>
    <w:uiPriority w:val="0"/>
    <w:rPr>
      <w:rFonts w:ascii="宋体" w:hAnsi="宋体" w:eastAsia="宋体"/>
      <w:kern w:val="2"/>
      <w:sz w:val="24"/>
      <w:szCs w:val="24"/>
      <w:lang w:val="en-US" w:eastAsia="zh-CN" w:bidi="ar-SA"/>
    </w:rPr>
  </w:style>
  <w:style w:type="character" w:customStyle="1" w:styleId="233">
    <w:name w:val="脚注文本 Char"/>
    <w:link w:val="61"/>
    <w:qFormat/>
    <w:uiPriority w:val="0"/>
    <w:rPr>
      <w:rFonts w:ascii="Tahoma" w:hAnsi="Tahoma" w:eastAsia="Times New Roman"/>
      <w:kern w:val="2"/>
      <w:sz w:val="18"/>
      <w:szCs w:val="24"/>
      <w:lang w:val="en-US" w:eastAsia="zh-CN"/>
    </w:rPr>
  </w:style>
  <w:style w:type="character" w:customStyle="1" w:styleId="234">
    <w:name w:val="不明显强调1"/>
    <w:qFormat/>
    <w:uiPriority w:val="0"/>
    <w:rPr>
      <w:i/>
      <w:iCs/>
      <w:color w:val="808080"/>
    </w:rPr>
  </w:style>
  <w:style w:type="character" w:customStyle="1" w:styleId="235">
    <w:name w:val="标题 9 Char Char"/>
    <w:qFormat/>
    <w:uiPriority w:val="0"/>
    <w:rPr>
      <w:rFonts w:ascii="Cambria" w:hAnsi="Cambria" w:eastAsia="宋体" w:cs="Times New Roman"/>
      <w:kern w:val="2"/>
      <w:sz w:val="21"/>
      <w:szCs w:val="21"/>
    </w:rPr>
  </w:style>
  <w:style w:type="character" w:customStyle="1" w:styleId="236">
    <w:name w:val="Body Text 3 Char"/>
    <w:qFormat/>
    <w:locked/>
    <w:uiPriority w:val="0"/>
    <w:rPr>
      <w:rFonts w:ascii="Calibri" w:hAnsi="Calibri" w:eastAsia="宋体"/>
      <w:kern w:val="2"/>
      <w:sz w:val="16"/>
      <w:szCs w:val="16"/>
      <w:lang w:val="en-US" w:eastAsia="zh-CN" w:bidi="ar-SA"/>
    </w:rPr>
  </w:style>
  <w:style w:type="character" w:customStyle="1" w:styleId="237">
    <w:name w:val="标题 1 Char Char"/>
    <w:qFormat/>
    <w:uiPriority w:val="0"/>
    <w:rPr>
      <w:b/>
      <w:bCs/>
      <w:kern w:val="44"/>
      <w:sz w:val="44"/>
      <w:szCs w:val="44"/>
    </w:rPr>
  </w:style>
  <w:style w:type="character" w:customStyle="1" w:styleId="238">
    <w:name w:val="纯文本 Char"/>
    <w:link w:val="42"/>
    <w:qFormat/>
    <w:uiPriority w:val="0"/>
    <w:rPr>
      <w:rFonts w:ascii="宋体" w:hAnsi="Courier New"/>
      <w:kern w:val="2"/>
      <w:sz w:val="21"/>
    </w:rPr>
  </w:style>
  <w:style w:type="character" w:customStyle="1" w:styleId="239">
    <w:name w:val="Char Char14"/>
    <w:qFormat/>
    <w:uiPriority w:val="0"/>
    <w:rPr>
      <w:rFonts w:ascii="Calibri" w:hAnsi="Calibri"/>
      <w:b/>
      <w:bCs/>
      <w:kern w:val="2"/>
      <w:sz w:val="28"/>
      <w:szCs w:val="28"/>
    </w:rPr>
  </w:style>
  <w:style w:type="character" w:customStyle="1" w:styleId="240">
    <w:name w:val="Char Char42"/>
    <w:qFormat/>
    <w:uiPriority w:val="0"/>
    <w:rPr>
      <w:rFonts w:eastAsia="宋体"/>
      <w:b/>
      <w:bCs/>
      <w:kern w:val="2"/>
      <w:sz w:val="32"/>
      <w:szCs w:val="32"/>
      <w:lang w:val="en-US" w:eastAsia="zh-CN" w:bidi="ar-SA"/>
    </w:rPr>
  </w:style>
  <w:style w:type="character" w:customStyle="1" w:styleId="241">
    <w:name w:val="Char Char44"/>
    <w:qFormat/>
    <w:uiPriority w:val="0"/>
    <w:rPr>
      <w:rFonts w:eastAsia="宋体"/>
      <w:b/>
      <w:bCs/>
      <w:kern w:val="44"/>
      <w:sz w:val="44"/>
      <w:szCs w:val="44"/>
      <w:lang w:val="en-US" w:eastAsia="zh-CN" w:bidi="ar-SA"/>
    </w:rPr>
  </w:style>
  <w:style w:type="character" w:customStyle="1" w:styleId="242">
    <w:name w:val="Char Char12"/>
    <w:qFormat/>
    <w:uiPriority w:val="0"/>
    <w:rPr>
      <w:b/>
      <w:bCs/>
      <w:sz w:val="24"/>
      <w:szCs w:val="24"/>
    </w:rPr>
  </w:style>
  <w:style w:type="character" w:customStyle="1" w:styleId="243">
    <w:name w:val="信息标题 Char1"/>
    <w:semiHidden/>
    <w:qFormat/>
    <w:uiPriority w:val="0"/>
    <w:rPr>
      <w:rFonts w:ascii="Cambria" w:hAnsi="Cambria" w:eastAsia="宋体" w:cs="Times New Roman"/>
      <w:sz w:val="24"/>
      <w:szCs w:val="24"/>
      <w:shd w:val="pct20" w:color="auto" w:fill="auto"/>
      <w:lang w:eastAsia="en-US"/>
    </w:rPr>
  </w:style>
  <w:style w:type="character" w:customStyle="1" w:styleId="244">
    <w:name w:val="页眉 Char2"/>
    <w:semiHidden/>
    <w:qFormat/>
    <w:uiPriority w:val="0"/>
    <w:rPr>
      <w:rFonts w:ascii="Tahoma" w:hAnsi="Tahoma"/>
      <w:kern w:val="2"/>
      <w:sz w:val="18"/>
      <w:szCs w:val="18"/>
    </w:rPr>
  </w:style>
  <w:style w:type="character" w:customStyle="1" w:styleId="245">
    <w:name w:val="apple-style-span"/>
    <w:basedOn w:val="76"/>
    <w:qFormat/>
    <w:uiPriority w:val="0"/>
    <w:rPr>
      <w:rFonts w:ascii="Tahoma" w:hAnsi="Tahoma"/>
      <w:sz w:val="24"/>
      <w:szCs w:val="20"/>
    </w:rPr>
  </w:style>
  <w:style w:type="character" w:customStyle="1" w:styleId="246">
    <w:name w:val="日期 Char2"/>
    <w:semiHidden/>
    <w:qFormat/>
    <w:uiPriority w:val="99"/>
    <w:rPr>
      <w:rFonts w:ascii="Tahoma" w:hAnsi="Tahoma"/>
      <w:kern w:val="2"/>
      <w:sz w:val="21"/>
      <w:szCs w:val="24"/>
    </w:rPr>
  </w:style>
  <w:style w:type="character" w:customStyle="1" w:styleId="247">
    <w:name w:val="批注文字 Char1"/>
    <w:qFormat/>
    <w:uiPriority w:val="0"/>
    <w:rPr>
      <w:rFonts w:ascii="Times New Roman" w:hAnsi="Times New Roman" w:eastAsia="宋体" w:cs="Times New Roman"/>
      <w:szCs w:val="24"/>
    </w:rPr>
  </w:style>
  <w:style w:type="character" w:customStyle="1" w:styleId="248">
    <w:name w:val="正文文本 Char"/>
    <w:link w:val="16"/>
    <w:qFormat/>
    <w:uiPriority w:val="0"/>
    <w:rPr>
      <w:kern w:val="2"/>
      <w:sz w:val="21"/>
      <w:szCs w:val="24"/>
    </w:rPr>
  </w:style>
  <w:style w:type="character" w:customStyle="1" w:styleId="249">
    <w:name w:val="结束语 Char"/>
    <w:link w:val="30"/>
    <w:qFormat/>
    <w:uiPriority w:val="0"/>
    <w:rPr>
      <w:rFonts w:ascii="Tahoma" w:hAnsi="Tahoma" w:eastAsia="仿宋_GB2312"/>
      <w:kern w:val="2"/>
      <w:sz w:val="32"/>
      <w:szCs w:val="20"/>
      <w:lang w:val="en-US" w:eastAsia="zh-CN"/>
    </w:rPr>
  </w:style>
  <w:style w:type="character" w:customStyle="1" w:styleId="250">
    <w:name w:val="Char Char3"/>
    <w:qFormat/>
    <w:uiPriority w:val="0"/>
    <w:rPr>
      <w:kern w:val="2"/>
      <w:sz w:val="18"/>
      <w:szCs w:val="18"/>
    </w:rPr>
  </w:style>
  <w:style w:type="character" w:customStyle="1" w:styleId="251">
    <w:name w:val="正文文本缩进 2 Char2"/>
    <w:semiHidden/>
    <w:qFormat/>
    <w:uiPriority w:val="0"/>
    <w:rPr>
      <w:rFonts w:ascii="Tahoma" w:hAnsi="Tahoma"/>
      <w:kern w:val="2"/>
      <w:sz w:val="21"/>
      <w:szCs w:val="24"/>
    </w:rPr>
  </w:style>
  <w:style w:type="character" w:customStyle="1" w:styleId="252">
    <w:name w:val="文本块 Char"/>
    <w:link w:val="36"/>
    <w:qFormat/>
    <w:uiPriority w:val="0"/>
    <w:rPr>
      <w:i/>
      <w:iCs/>
      <w:color w:val="000000"/>
      <w:kern w:val="2"/>
      <w:sz w:val="21"/>
      <w:szCs w:val="22"/>
      <w:lang w:bidi="ar-SA"/>
    </w:rPr>
  </w:style>
  <w:style w:type="character" w:customStyle="1" w:styleId="253">
    <w:name w:val="正文文本缩进 2 Char Char"/>
    <w:qFormat/>
    <w:uiPriority w:val="0"/>
    <w:rPr>
      <w:kern w:val="2"/>
      <w:sz w:val="21"/>
    </w:rPr>
  </w:style>
  <w:style w:type="character" w:customStyle="1" w:styleId="254">
    <w:name w:val="日期 Char Char"/>
    <w:link w:val="255"/>
    <w:qFormat/>
    <w:uiPriority w:val="0"/>
    <w:rPr>
      <w:rFonts w:ascii="宋体"/>
      <w:sz w:val="28"/>
      <w:lang w:bidi="ar-SA"/>
    </w:rPr>
  </w:style>
  <w:style w:type="paragraph" w:customStyle="1" w:styleId="255">
    <w:name w:val="日期1"/>
    <w:basedOn w:val="1"/>
    <w:next w:val="1"/>
    <w:link w:val="254"/>
    <w:qFormat/>
    <w:uiPriority w:val="0"/>
    <w:pPr>
      <w:ind w:left="100" w:leftChars="2500"/>
    </w:pPr>
    <w:rPr>
      <w:rFonts w:ascii="宋体"/>
      <w:kern w:val="0"/>
      <w:sz w:val="28"/>
      <w:szCs w:val="20"/>
      <w:lang w:val="zh-CN"/>
    </w:rPr>
  </w:style>
  <w:style w:type="character" w:customStyle="1" w:styleId="256">
    <w:name w:val="标题 Char"/>
    <w:link w:val="75"/>
    <w:qFormat/>
    <w:uiPriority w:val="0"/>
    <w:rPr>
      <w:rFonts w:ascii="Arial" w:hAnsi="Arial"/>
      <w:b/>
      <w:sz w:val="32"/>
    </w:rPr>
  </w:style>
  <w:style w:type="character" w:customStyle="1" w:styleId="257">
    <w:name w:val="电子邮件签名 Char"/>
    <w:link w:val="21"/>
    <w:qFormat/>
    <w:uiPriority w:val="0"/>
    <w:rPr>
      <w:rFonts w:ascii="Tahoma" w:hAnsi="Tahoma" w:eastAsia="仿宋_GB2312"/>
      <w:kern w:val="2"/>
      <w:sz w:val="32"/>
      <w:szCs w:val="20"/>
      <w:lang w:val="en-US" w:eastAsia="zh-CN"/>
    </w:rPr>
  </w:style>
  <w:style w:type="character" w:customStyle="1" w:styleId="258">
    <w:name w:val="不明显强调11"/>
    <w:qFormat/>
    <w:uiPriority w:val="0"/>
    <w:rPr>
      <w:i/>
      <w:iCs/>
      <w:color w:val="808080"/>
    </w:rPr>
  </w:style>
  <w:style w:type="character" w:customStyle="1" w:styleId="259">
    <w:name w:val="批注框文本 Char Char"/>
    <w:qFormat/>
    <w:uiPriority w:val="0"/>
    <w:rPr>
      <w:rFonts w:ascii="宋体" w:hAnsi="Times New Roman"/>
      <w:sz w:val="18"/>
      <w:szCs w:val="18"/>
    </w:rPr>
  </w:style>
  <w:style w:type="character" w:customStyle="1" w:styleId="260">
    <w:name w:val="标题 7 Char Char"/>
    <w:qFormat/>
    <w:uiPriority w:val="0"/>
    <w:rPr>
      <w:b/>
      <w:bCs/>
      <w:kern w:val="2"/>
      <w:sz w:val="24"/>
      <w:szCs w:val="24"/>
    </w:rPr>
  </w:style>
  <w:style w:type="character" w:customStyle="1" w:styleId="261">
    <w:name w:val="正文文本 3 Char"/>
    <w:link w:val="29"/>
    <w:qFormat/>
    <w:uiPriority w:val="0"/>
    <w:rPr>
      <w:rFonts w:ascii="宋体" w:hAnsi="Tahoma"/>
      <w:kern w:val="2"/>
      <w:sz w:val="24"/>
      <w:szCs w:val="20"/>
    </w:rPr>
  </w:style>
  <w:style w:type="character" w:customStyle="1" w:styleId="262">
    <w:name w:val="标题 8 Char Char"/>
    <w:qFormat/>
    <w:uiPriority w:val="0"/>
    <w:rPr>
      <w:rFonts w:ascii="Cambria" w:hAnsi="Cambria" w:eastAsia="宋体" w:cs="Times New Roman"/>
      <w:kern w:val="2"/>
      <w:sz w:val="24"/>
      <w:szCs w:val="24"/>
    </w:rPr>
  </w:style>
  <w:style w:type="character" w:customStyle="1" w:styleId="263">
    <w:name w:val="Char Char34"/>
    <w:qFormat/>
    <w:uiPriority w:val="0"/>
    <w:rPr>
      <w:rFonts w:ascii="Arial" w:hAnsi="Arial" w:eastAsia="黑体"/>
      <w:b/>
      <w:bCs/>
      <w:kern w:val="2"/>
      <w:sz w:val="28"/>
      <w:szCs w:val="32"/>
    </w:rPr>
  </w:style>
  <w:style w:type="character" w:customStyle="1" w:styleId="264">
    <w:name w:val="Body Text First Indent Char"/>
    <w:qFormat/>
    <w:locked/>
    <w:uiPriority w:val="0"/>
    <w:rPr>
      <w:rFonts w:ascii="宋体" w:hAnsi="宋体" w:eastAsia="宋体"/>
      <w:kern w:val="2"/>
      <w:sz w:val="21"/>
      <w:szCs w:val="24"/>
      <w:lang w:val="en-US" w:eastAsia="zh-CN" w:bidi="ar-SA"/>
    </w:rPr>
  </w:style>
  <w:style w:type="character" w:customStyle="1" w:styleId="265">
    <w:name w:val="Char Char Char"/>
    <w:qFormat/>
    <w:uiPriority w:val="0"/>
    <w:rPr>
      <w:rFonts w:ascii="Cambria" w:hAnsi="Cambria"/>
      <w:b/>
      <w:bCs/>
      <w:kern w:val="28"/>
      <w:sz w:val="32"/>
      <w:szCs w:val="32"/>
    </w:rPr>
  </w:style>
  <w:style w:type="character" w:customStyle="1" w:styleId="266">
    <w:name w:val="数字"/>
    <w:qFormat/>
    <w:uiPriority w:val="0"/>
    <w:rPr>
      <w:rFonts w:eastAsia="黑体"/>
      <w:b/>
      <w:sz w:val="21"/>
    </w:rPr>
  </w:style>
  <w:style w:type="character" w:customStyle="1" w:styleId="267">
    <w:name w:val="批注文字 Char2"/>
    <w:semiHidden/>
    <w:qFormat/>
    <w:uiPriority w:val="0"/>
    <w:rPr>
      <w:rFonts w:ascii="Tahoma" w:hAnsi="Tahoma"/>
      <w:kern w:val="2"/>
      <w:sz w:val="21"/>
      <w:szCs w:val="24"/>
    </w:rPr>
  </w:style>
  <w:style w:type="character" w:customStyle="1" w:styleId="268">
    <w:name w:val="页脚 Char Char"/>
    <w:qFormat/>
    <w:uiPriority w:val="0"/>
    <w:rPr>
      <w:kern w:val="2"/>
      <w:sz w:val="18"/>
      <w:szCs w:val="18"/>
    </w:rPr>
  </w:style>
  <w:style w:type="character" w:customStyle="1" w:styleId="269">
    <w:name w:val="正文文本 2 Char Char"/>
    <w:basedOn w:val="76"/>
    <w:qFormat/>
    <w:uiPriority w:val="0"/>
    <w:rPr>
      <w:rFonts w:ascii="Tahoma" w:hAnsi="Tahoma"/>
      <w:sz w:val="24"/>
      <w:szCs w:val="20"/>
    </w:rPr>
  </w:style>
  <w:style w:type="character" w:customStyle="1" w:styleId="270">
    <w:name w:val="Heading 3 Char"/>
    <w:qFormat/>
    <w:locked/>
    <w:uiPriority w:val="0"/>
    <w:rPr>
      <w:rFonts w:ascii="Tahoma" w:hAnsi="Tahoma" w:eastAsia="宋体"/>
      <w:b/>
      <w:bCs/>
      <w:kern w:val="2"/>
      <w:sz w:val="32"/>
      <w:szCs w:val="32"/>
      <w:lang w:val="en-US" w:eastAsia="zh-CN" w:bidi="ar-SA"/>
    </w:rPr>
  </w:style>
  <w:style w:type="character" w:customStyle="1" w:styleId="271">
    <w:name w:val="副标题 Char Char"/>
    <w:qFormat/>
    <w:uiPriority w:val="0"/>
    <w:rPr>
      <w:rFonts w:ascii="Cambria" w:hAnsi="Cambria" w:cs="Times New Roman"/>
      <w:b/>
      <w:bCs/>
      <w:kern w:val="28"/>
      <w:sz w:val="32"/>
      <w:szCs w:val="32"/>
    </w:rPr>
  </w:style>
  <w:style w:type="character" w:customStyle="1" w:styleId="272">
    <w:name w:val="标题 6 Char"/>
    <w:link w:val="7"/>
    <w:qFormat/>
    <w:uiPriority w:val="0"/>
    <w:rPr>
      <w:rFonts w:ascii="Arial" w:hAnsi="Arial" w:eastAsia="黑体"/>
      <w:b/>
      <w:bCs/>
      <w:sz w:val="24"/>
      <w:szCs w:val="24"/>
    </w:rPr>
  </w:style>
  <w:style w:type="character" w:customStyle="1" w:styleId="273">
    <w:name w:val="HTML 地址 Char"/>
    <w:link w:val="38"/>
    <w:qFormat/>
    <w:uiPriority w:val="0"/>
    <w:rPr>
      <w:rFonts w:ascii="Tahoma" w:hAnsi="Tahoma" w:eastAsia="仿宋_GB2312"/>
      <w:i/>
      <w:iCs/>
      <w:kern w:val="2"/>
      <w:sz w:val="32"/>
      <w:szCs w:val="20"/>
      <w:lang w:val="en-US" w:eastAsia="zh-CN"/>
    </w:rPr>
  </w:style>
  <w:style w:type="character" w:customStyle="1" w:styleId="274">
    <w:name w:val="明显引用 Char"/>
    <w:link w:val="275"/>
    <w:qFormat/>
    <w:uiPriority w:val="0"/>
    <w:rPr>
      <w:b/>
      <w:bCs/>
      <w:i/>
      <w:iCs/>
      <w:color w:val="4F81BD"/>
      <w:kern w:val="2"/>
      <w:sz w:val="21"/>
      <w:szCs w:val="22"/>
    </w:rPr>
  </w:style>
  <w:style w:type="paragraph" w:styleId="275">
    <w:name w:val="Intense Quote"/>
    <w:basedOn w:val="1"/>
    <w:next w:val="1"/>
    <w:link w:val="274"/>
    <w:qFormat/>
    <w:uiPriority w:val="0"/>
    <w:pPr>
      <w:pBdr>
        <w:bottom w:val="single" w:color="4F81BD" w:sz="4" w:space="4"/>
      </w:pBdr>
      <w:spacing w:before="200" w:after="280"/>
      <w:ind w:left="936" w:right="936"/>
    </w:pPr>
    <w:rPr>
      <w:b/>
      <w:bCs/>
      <w:i/>
      <w:iCs/>
      <w:color w:val="4F81BD"/>
      <w:szCs w:val="22"/>
      <w:lang w:val="zh-CN"/>
    </w:rPr>
  </w:style>
  <w:style w:type="character" w:customStyle="1" w:styleId="276">
    <w:name w:val="Body Text 2 Char"/>
    <w:qFormat/>
    <w:locked/>
    <w:uiPriority w:val="0"/>
    <w:rPr>
      <w:rFonts w:ascii="Tahoma" w:hAnsi="Tahoma" w:eastAsia="宋体"/>
      <w:kern w:val="2"/>
      <w:sz w:val="21"/>
      <w:szCs w:val="24"/>
      <w:lang w:val="en-US" w:eastAsia="zh-CN" w:bidi="ar-SA"/>
    </w:rPr>
  </w:style>
  <w:style w:type="character" w:customStyle="1" w:styleId="277">
    <w:name w:val="Char Char13"/>
    <w:qFormat/>
    <w:uiPriority w:val="0"/>
    <w:rPr>
      <w:rFonts w:ascii="Arial" w:hAnsi="Arial" w:eastAsia="黑体"/>
      <w:b/>
      <w:bCs/>
      <w:sz w:val="24"/>
      <w:szCs w:val="24"/>
    </w:rPr>
  </w:style>
  <w:style w:type="character" w:customStyle="1" w:styleId="278">
    <w:name w:val="结束语 Char Char"/>
    <w:qFormat/>
    <w:uiPriority w:val="0"/>
    <w:rPr>
      <w:rFonts w:eastAsia="仿宋_GB2312"/>
      <w:kern w:val="2"/>
      <w:sz w:val="32"/>
    </w:rPr>
  </w:style>
  <w:style w:type="character" w:customStyle="1" w:styleId="279">
    <w:name w:val="签名 Char"/>
    <w:link w:val="54"/>
    <w:qFormat/>
    <w:uiPriority w:val="0"/>
    <w:rPr>
      <w:rFonts w:ascii="Tahoma" w:hAnsi="Tahoma" w:eastAsia="仿宋_GB2312"/>
      <w:kern w:val="2"/>
      <w:sz w:val="32"/>
      <w:szCs w:val="20"/>
      <w:lang w:val="en-US" w:eastAsia="zh-CN"/>
    </w:rPr>
  </w:style>
  <w:style w:type="character" w:customStyle="1" w:styleId="280">
    <w:name w:val="Balloon Text Char"/>
    <w:qFormat/>
    <w:locked/>
    <w:uiPriority w:val="0"/>
    <w:rPr>
      <w:rFonts w:ascii="Calibri" w:hAnsi="Calibri" w:eastAsia="宋体"/>
      <w:kern w:val="2"/>
      <w:sz w:val="18"/>
      <w:szCs w:val="18"/>
      <w:lang w:val="en-US" w:eastAsia="zh-CN" w:bidi="ar-SA"/>
    </w:rPr>
  </w:style>
  <w:style w:type="character" w:customStyle="1" w:styleId="281">
    <w:name w:val="HTML 预设格式 Char2"/>
    <w:semiHidden/>
    <w:qFormat/>
    <w:uiPriority w:val="0"/>
    <w:rPr>
      <w:rFonts w:ascii="Courier New" w:hAnsi="Courier New" w:cs="Courier New"/>
      <w:kern w:val="2"/>
      <w:sz w:val="24"/>
      <w:szCs w:val="20"/>
    </w:rPr>
  </w:style>
  <w:style w:type="character" w:customStyle="1" w:styleId="282">
    <w:name w:val="Body Text Char"/>
    <w:qFormat/>
    <w:locked/>
    <w:uiPriority w:val="0"/>
    <w:rPr>
      <w:rFonts w:ascii="宋体" w:hAnsi="宋体" w:eastAsia="宋体"/>
      <w:kern w:val="2"/>
      <w:sz w:val="24"/>
      <w:szCs w:val="24"/>
      <w:lang w:val="en-US" w:eastAsia="zh-CN" w:bidi="ar-SA"/>
    </w:rPr>
  </w:style>
  <w:style w:type="character" w:customStyle="1" w:styleId="283">
    <w:name w:val="正文文本缩进 Char2"/>
    <w:semiHidden/>
    <w:qFormat/>
    <w:uiPriority w:val="0"/>
    <w:rPr>
      <w:rFonts w:ascii="Tahoma" w:hAnsi="Tahoma"/>
      <w:kern w:val="2"/>
      <w:sz w:val="21"/>
      <w:szCs w:val="24"/>
    </w:rPr>
  </w:style>
  <w:style w:type="character" w:customStyle="1" w:styleId="284">
    <w:name w:val="样式 标题 3 Char"/>
    <w:link w:val="285"/>
    <w:qFormat/>
    <w:locked/>
    <w:uiPriority w:val="0"/>
    <w:rPr>
      <w:rFonts w:ascii="Tahoma" w:hAnsi="Tahoma" w:eastAsia="宋体"/>
      <w:b/>
      <w:bCs/>
      <w:kern w:val="2"/>
      <w:sz w:val="28"/>
      <w:szCs w:val="32"/>
      <w:lang w:val="en-US" w:eastAsia="zh-CN" w:bidi="ar-SA"/>
    </w:rPr>
  </w:style>
  <w:style w:type="paragraph" w:customStyle="1" w:styleId="285">
    <w:name w:val="样式 标题 3"/>
    <w:basedOn w:val="4"/>
    <w:link w:val="284"/>
    <w:qFormat/>
    <w:uiPriority w:val="0"/>
    <w:pPr>
      <w:spacing w:line="413" w:lineRule="auto"/>
      <w:jc w:val="left"/>
    </w:pPr>
    <w:rPr>
      <w:rFonts w:ascii="Tahoma" w:hAnsi="Tahoma"/>
      <w:sz w:val="28"/>
    </w:rPr>
  </w:style>
  <w:style w:type="character" w:customStyle="1" w:styleId="286">
    <w:name w:val="普通文字 Char Char"/>
    <w:qFormat/>
    <w:uiPriority w:val="0"/>
    <w:rPr>
      <w:rFonts w:ascii="宋体" w:hAnsi="Courier New" w:eastAsia="宋体"/>
      <w:kern w:val="2"/>
      <w:sz w:val="21"/>
      <w:lang w:val="en-US" w:eastAsia="zh-CN" w:bidi="ar-SA"/>
    </w:rPr>
  </w:style>
  <w:style w:type="character" w:customStyle="1" w:styleId="287">
    <w:name w:val="样式 (符号) 宋体 小四 加粗"/>
    <w:qFormat/>
    <w:uiPriority w:val="0"/>
    <w:rPr>
      <w:rFonts w:ascii="Tahoma" w:hAnsi="Tahoma" w:cs="Times New Roman"/>
      <w:b/>
      <w:bCs/>
      <w:sz w:val="24"/>
      <w:szCs w:val="20"/>
    </w:rPr>
  </w:style>
  <w:style w:type="character" w:customStyle="1" w:styleId="288">
    <w:name w:val="Body Text Indent 3 Char"/>
    <w:qFormat/>
    <w:locked/>
    <w:uiPriority w:val="0"/>
    <w:rPr>
      <w:rFonts w:ascii="Tahoma" w:hAnsi="Tahoma" w:eastAsia="宋体"/>
      <w:kern w:val="2"/>
      <w:sz w:val="28"/>
      <w:szCs w:val="24"/>
      <w:lang w:val="en-US" w:eastAsia="zh-CN" w:bidi="ar-SA"/>
    </w:rPr>
  </w:style>
  <w:style w:type="character" w:customStyle="1" w:styleId="289">
    <w:name w:val="电子邮件签名 Char2"/>
    <w:semiHidden/>
    <w:qFormat/>
    <w:uiPriority w:val="0"/>
    <w:rPr>
      <w:rFonts w:ascii="Tahoma" w:hAnsi="Tahoma"/>
      <w:kern w:val="2"/>
      <w:sz w:val="21"/>
      <w:szCs w:val="24"/>
    </w:rPr>
  </w:style>
  <w:style w:type="character" w:customStyle="1" w:styleId="290">
    <w:name w:val="Salutation Char"/>
    <w:qFormat/>
    <w:locked/>
    <w:uiPriority w:val="0"/>
    <w:rPr>
      <w:rFonts w:ascii="Tahoma" w:hAnsi="Tahoma" w:eastAsia="宋体"/>
      <w:kern w:val="2"/>
      <w:sz w:val="28"/>
      <w:szCs w:val="24"/>
      <w:lang w:val="en-US" w:eastAsia="zh-CN" w:bidi="ar-SA"/>
    </w:rPr>
  </w:style>
  <w:style w:type="character" w:customStyle="1" w:styleId="291">
    <w:name w:val="电子邮件签名 Char1"/>
    <w:semiHidden/>
    <w:qFormat/>
    <w:uiPriority w:val="0"/>
    <w:rPr>
      <w:sz w:val="24"/>
      <w:szCs w:val="24"/>
      <w:lang w:eastAsia="en-US"/>
    </w:rPr>
  </w:style>
  <w:style w:type="character" w:customStyle="1" w:styleId="292">
    <w:name w:val="Footer Char"/>
    <w:semiHidden/>
    <w:qFormat/>
    <w:locked/>
    <w:uiPriority w:val="0"/>
    <w:rPr>
      <w:rFonts w:ascii="Tahoma" w:hAnsi="Tahoma" w:eastAsia="宋体"/>
      <w:kern w:val="2"/>
      <w:sz w:val="18"/>
      <w:szCs w:val="18"/>
      <w:lang w:val="en-US" w:eastAsia="zh-CN" w:bidi="ar-SA"/>
    </w:rPr>
  </w:style>
  <w:style w:type="character" w:customStyle="1" w:styleId="293">
    <w:name w:val="明显强调2"/>
    <w:qFormat/>
    <w:uiPriority w:val="0"/>
    <w:rPr>
      <w:b/>
      <w:bCs/>
      <w:i/>
      <w:iCs/>
      <w:color w:val="4F81BD"/>
    </w:rPr>
  </w:style>
  <w:style w:type="character" w:customStyle="1" w:styleId="294">
    <w:name w:val="Heading 2 Char"/>
    <w:qFormat/>
    <w:locked/>
    <w:uiPriority w:val="0"/>
    <w:rPr>
      <w:rFonts w:ascii="Arial" w:hAnsi="Arial" w:eastAsia="宋体"/>
      <w:b/>
      <w:bCs/>
      <w:kern w:val="2"/>
      <w:sz w:val="30"/>
      <w:szCs w:val="32"/>
      <w:lang w:val="en-US" w:eastAsia="zh-CN" w:bidi="ar-SA"/>
    </w:rPr>
  </w:style>
  <w:style w:type="character" w:customStyle="1" w:styleId="295">
    <w:name w:val="页码 New"/>
    <w:basedOn w:val="76"/>
    <w:qFormat/>
    <w:uiPriority w:val="0"/>
    <w:rPr>
      <w:rFonts w:ascii="Tahoma" w:hAnsi="Tahoma"/>
      <w:sz w:val="24"/>
      <w:szCs w:val="20"/>
    </w:rPr>
  </w:style>
  <w:style w:type="character" w:customStyle="1" w:styleId="296">
    <w:name w:val="font161"/>
    <w:qFormat/>
    <w:uiPriority w:val="0"/>
    <w:rPr>
      <w:rFonts w:ascii="Tahoma" w:hAnsi="Tahoma"/>
      <w:b/>
      <w:bCs/>
      <w:sz w:val="32"/>
      <w:szCs w:val="32"/>
    </w:rPr>
  </w:style>
  <w:style w:type="character" w:customStyle="1" w:styleId="297">
    <w:name w:val="称呼 Char1"/>
    <w:semiHidden/>
    <w:qFormat/>
    <w:uiPriority w:val="0"/>
    <w:rPr>
      <w:sz w:val="24"/>
      <w:szCs w:val="24"/>
      <w:lang w:eastAsia="en-US"/>
    </w:rPr>
  </w:style>
  <w:style w:type="character" w:customStyle="1" w:styleId="298">
    <w:name w:val="Char Char31"/>
    <w:qFormat/>
    <w:uiPriority w:val="0"/>
    <w:rPr>
      <w:rFonts w:eastAsia="宋体"/>
      <w:kern w:val="2"/>
      <w:sz w:val="18"/>
      <w:szCs w:val="18"/>
      <w:lang w:val="en-US" w:eastAsia="zh-CN" w:bidi="ar-SA"/>
    </w:rPr>
  </w:style>
  <w:style w:type="character" w:customStyle="1" w:styleId="299">
    <w:name w:val="标题 6 Char Char"/>
    <w:qFormat/>
    <w:uiPriority w:val="0"/>
    <w:rPr>
      <w:rFonts w:ascii="Cambria" w:hAnsi="Cambria" w:eastAsia="宋体" w:cs="Times New Roman"/>
      <w:b/>
      <w:bCs/>
      <w:kern w:val="2"/>
      <w:sz w:val="24"/>
      <w:szCs w:val="24"/>
    </w:rPr>
  </w:style>
  <w:style w:type="character" w:customStyle="1" w:styleId="300">
    <w:name w:val="不明显参考2"/>
    <w:qFormat/>
    <w:uiPriority w:val="0"/>
    <w:rPr>
      <w:smallCaps/>
      <w:color w:val="C0504D"/>
      <w:u w:val="single"/>
    </w:rPr>
  </w:style>
  <w:style w:type="character" w:customStyle="1" w:styleId="301">
    <w:name w:val="批注主题 Char2"/>
    <w:semiHidden/>
    <w:qFormat/>
    <w:uiPriority w:val="99"/>
    <w:rPr>
      <w:rFonts w:ascii="Tahoma" w:hAnsi="Tahoma"/>
      <w:b/>
      <w:bCs/>
      <w:kern w:val="2"/>
      <w:sz w:val="21"/>
      <w:szCs w:val="24"/>
    </w:rPr>
  </w:style>
  <w:style w:type="character" w:customStyle="1" w:styleId="302">
    <w:name w:val="标题 2 Char"/>
    <w:link w:val="3"/>
    <w:qFormat/>
    <w:uiPriority w:val="0"/>
    <w:rPr>
      <w:rFonts w:ascii="Arial" w:hAnsi="Arial" w:eastAsia="黑体"/>
      <w:b/>
      <w:bCs/>
      <w:kern w:val="2"/>
      <w:sz w:val="32"/>
      <w:szCs w:val="32"/>
      <w:lang w:val="en-US" w:eastAsia="zh-CN" w:bidi="ar-SA"/>
    </w:rPr>
  </w:style>
  <w:style w:type="character" w:customStyle="1" w:styleId="303">
    <w:name w:val="页脚 Char2"/>
    <w:semiHidden/>
    <w:qFormat/>
    <w:uiPriority w:val="0"/>
    <w:rPr>
      <w:rFonts w:ascii="Tahoma" w:hAnsi="Tahoma"/>
      <w:kern w:val="2"/>
      <w:sz w:val="18"/>
      <w:szCs w:val="18"/>
    </w:rPr>
  </w:style>
  <w:style w:type="character" w:customStyle="1" w:styleId="304">
    <w:name w:val="正文首行缩进 2 Char2"/>
    <w:basedOn w:val="283"/>
    <w:semiHidden/>
    <w:qFormat/>
    <w:uiPriority w:val="0"/>
    <w:rPr>
      <w:rFonts w:ascii="Tahoma" w:hAnsi="Tahoma"/>
      <w:kern w:val="2"/>
      <w:sz w:val="21"/>
      <w:szCs w:val="24"/>
    </w:rPr>
  </w:style>
  <w:style w:type="character" w:customStyle="1" w:styleId="305">
    <w:name w:val="页码1"/>
    <w:qFormat/>
    <w:uiPriority w:val="0"/>
    <w:rPr>
      <w:rFonts w:cs="Times New Roman"/>
    </w:rPr>
  </w:style>
  <w:style w:type="character" w:customStyle="1" w:styleId="306">
    <w:name w:val="注释标题 Char2"/>
    <w:semiHidden/>
    <w:qFormat/>
    <w:uiPriority w:val="0"/>
    <w:rPr>
      <w:rFonts w:ascii="Tahoma" w:hAnsi="Tahoma"/>
      <w:kern w:val="2"/>
      <w:sz w:val="21"/>
      <w:szCs w:val="24"/>
    </w:rPr>
  </w:style>
  <w:style w:type="character" w:customStyle="1" w:styleId="307">
    <w:name w:val="HTML 预设格式 Char1"/>
    <w:semiHidden/>
    <w:qFormat/>
    <w:uiPriority w:val="0"/>
    <w:rPr>
      <w:rFonts w:ascii="Courier New" w:hAnsi="Courier New" w:cs="Courier New"/>
      <w:lang w:eastAsia="en-US"/>
    </w:rPr>
  </w:style>
  <w:style w:type="character" w:customStyle="1" w:styleId="308">
    <w:name w:val="正文首行缩进 Char2"/>
    <w:basedOn w:val="183"/>
    <w:semiHidden/>
    <w:qFormat/>
    <w:uiPriority w:val="0"/>
    <w:rPr>
      <w:rFonts w:eastAsia="宋体"/>
      <w:sz w:val="24"/>
      <w:szCs w:val="24"/>
      <w:lang w:eastAsia="en-US" w:bidi="ar-SA"/>
    </w:rPr>
  </w:style>
  <w:style w:type="character" w:customStyle="1" w:styleId="309">
    <w:name w:val="副标题 Char1"/>
    <w:qFormat/>
    <w:uiPriority w:val="11"/>
    <w:rPr>
      <w:rFonts w:ascii="Cambria" w:hAnsi="Cambria" w:cs="Times New Roman"/>
      <w:b/>
      <w:bCs/>
      <w:kern w:val="28"/>
      <w:sz w:val="32"/>
      <w:szCs w:val="32"/>
    </w:rPr>
  </w:style>
  <w:style w:type="character" w:customStyle="1" w:styleId="310">
    <w:name w:val="信息标题 Char"/>
    <w:link w:val="70"/>
    <w:qFormat/>
    <w:uiPriority w:val="0"/>
    <w:rPr>
      <w:rFonts w:ascii="Arial" w:hAnsi="Arial" w:eastAsia="仿宋_GB2312"/>
      <w:kern w:val="2"/>
      <w:sz w:val="24"/>
      <w:szCs w:val="24"/>
      <w:shd w:val="pct20" w:color="auto" w:fill="auto"/>
      <w:lang w:val="en-US" w:eastAsia="zh-CN"/>
    </w:rPr>
  </w:style>
  <w:style w:type="character" w:customStyle="1" w:styleId="311">
    <w:name w:val="文档结构图 Char2"/>
    <w:semiHidden/>
    <w:qFormat/>
    <w:uiPriority w:val="99"/>
    <w:rPr>
      <w:rFonts w:ascii="宋体" w:hAnsi="Tahoma"/>
      <w:kern w:val="2"/>
      <w:sz w:val="18"/>
      <w:szCs w:val="18"/>
    </w:rPr>
  </w:style>
  <w:style w:type="character" w:customStyle="1" w:styleId="312">
    <w:name w:val="HTML Preformatted Char"/>
    <w:semiHidden/>
    <w:qFormat/>
    <w:locked/>
    <w:uiPriority w:val="0"/>
    <w:rPr>
      <w:rFonts w:ascii="Arial" w:hAnsi="Arial" w:eastAsia="宋体" w:cs="Arial"/>
      <w:sz w:val="24"/>
      <w:szCs w:val="20"/>
      <w:lang w:val="en-US" w:eastAsia="zh-CN" w:bidi="ar-SA"/>
    </w:rPr>
  </w:style>
  <w:style w:type="character" w:customStyle="1" w:styleId="313">
    <w:name w:val="副标题 Char2"/>
    <w:qFormat/>
    <w:uiPriority w:val="0"/>
    <w:rPr>
      <w:rFonts w:ascii="Cambria" w:hAnsi="Cambria" w:cs="Times New Roman"/>
      <w:b/>
      <w:bCs/>
      <w:kern w:val="28"/>
      <w:sz w:val="32"/>
      <w:szCs w:val="32"/>
    </w:rPr>
  </w:style>
  <w:style w:type="character" w:customStyle="1" w:styleId="314">
    <w:name w:val="HTML 预设格式 Char"/>
    <w:link w:val="71"/>
    <w:qFormat/>
    <w:uiPriority w:val="99"/>
    <w:rPr>
      <w:rFonts w:ascii="Courier New" w:hAnsi="Courier New" w:eastAsia="仿宋_GB2312"/>
      <w:kern w:val="2"/>
      <w:sz w:val="21"/>
      <w:szCs w:val="24"/>
      <w:lang w:val="en-US" w:eastAsia="zh-CN"/>
    </w:rPr>
  </w:style>
  <w:style w:type="character" w:customStyle="1" w:styleId="315">
    <w:name w:val="纯文本 Char Char"/>
    <w:qFormat/>
    <w:uiPriority w:val="0"/>
    <w:rPr>
      <w:rFonts w:ascii="宋体" w:hAnsi="Courier New" w:eastAsia="宋体" w:cs="Courier New"/>
      <w:kern w:val="2"/>
      <w:sz w:val="21"/>
      <w:szCs w:val="21"/>
      <w:lang w:val="en-US" w:eastAsia="zh-CN" w:bidi="ar-SA"/>
    </w:rPr>
  </w:style>
  <w:style w:type="character" w:customStyle="1" w:styleId="316">
    <w:name w:val="引用 Char2"/>
    <w:qFormat/>
    <w:uiPriority w:val="0"/>
    <w:rPr>
      <w:rFonts w:ascii="Tahoma" w:hAnsi="Tahoma"/>
      <w:i/>
      <w:iCs/>
      <w:color w:val="000000"/>
      <w:kern w:val="2"/>
      <w:sz w:val="21"/>
      <w:szCs w:val="24"/>
    </w:rPr>
  </w:style>
  <w:style w:type="character" w:customStyle="1" w:styleId="317">
    <w:name w:val="标题5 Char Char"/>
    <w:link w:val="318"/>
    <w:qFormat/>
    <w:uiPriority w:val="0"/>
    <w:rPr>
      <w:rFonts w:ascii="Arial" w:hAnsi="Arial"/>
      <w:b/>
      <w:bCs/>
      <w:sz w:val="24"/>
      <w:szCs w:val="32"/>
    </w:rPr>
  </w:style>
  <w:style w:type="paragraph" w:customStyle="1" w:styleId="318">
    <w:name w:val="标题5"/>
    <w:basedOn w:val="4"/>
    <w:link w:val="317"/>
    <w:qFormat/>
    <w:uiPriority w:val="0"/>
    <w:pPr>
      <w:spacing w:line="413" w:lineRule="auto"/>
    </w:pPr>
    <w:rPr>
      <w:rFonts w:ascii="Arial" w:hAnsi="Arial"/>
      <w:kern w:val="0"/>
      <w:sz w:val="24"/>
    </w:rPr>
  </w:style>
  <w:style w:type="character" w:customStyle="1" w:styleId="319">
    <w:name w:val="正文文本缩进 Char"/>
    <w:qFormat/>
    <w:uiPriority w:val="99"/>
    <w:rPr>
      <w:kern w:val="2"/>
      <w:sz w:val="21"/>
      <w:szCs w:val="24"/>
    </w:rPr>
  </w:style>
  <w:style w:type="character" w:customStyle="1" w:styleId="320">
    <w:name w:val="Body Text Indent Char"/>
    <w:qFormat/>
    <w:locked/>
    <w:uiPriority w:val="0"/>
    <w:rPr>
      <w:rFonts w:ascii="Tahoma" w:hAnsi="Tahoma" w:eastAsia="宋体"/>
      <w:kern w:val="2"/>
      <w:sz w:val="24"/>
      <w:szCs w:val="18"/>
      <w:lang w:val="en-US" w:eastAsia="zh-CN" w:bidi="ar-SA"/>
    </w:rPr>
  </w:style>
  <w:style w:type="paragraph" w:customStyle="1" w:styleId="321">
    <w:name w:val="目录3"/>
    <w:basedOn w:val="1"/>
    <w:qFormat/>
    <w:uiPriority w:val="0"/>
    <w:pPr>
      <w:adjustRightInd w:val="0"/>
      <w:spacing w:line="420" w:lineRule="atLeast"/>
      <w:ind w:left="454"/>
      <w:textAlignment w:val="baseline"/>
    </w:pPr>
    <w:rPr>
      <w:kern w:val="0"/>
      <w:szCs w:val="20"/>
    </w:rPr>
  </w:style>
  <w:style w:type="paragraph" w:customStyle="1" w:styleId="322">
    <w:name w:val="p16"/>
    <w:basedOn w:val="1"/>
    <w:qFormat/>
    <w:uiPriority w:val="0"/>
    <w:pPr>
      <w:widowControl/>
      <w:ind w:left="840"/>
    </w:pPr>
    <w:rPr>
      <w:rFonts w:ascii="Calibri" w:hAnsi="Calibri" w:cs="宋体"/>
      <w:kern w:val="0"/>
      <w:szCs w:val="21"/>
    </w:rPr>
  </w:style>
  <w:style w:type="paragraph" w:customStyle="1" w:styleId="323">
    <w:name w:val="Revision1"/>
    <w:qFormat/>
    <w:uiPriority w:val="0"/>
    <w:rPr>
      <w:rFonts w:ascii="Times New Roman" w:hAnsi="Times New Roman" w:eastAsia="宋体" w:cs="Times New Roman"/>
      <w:lang w:val="en-US" w:eastAsia="zh-CN" w:bidi="ar-SA"/>
    </w:rPr>
  </w:style>
  <w:style w:type="paragraph" w:customStyle="1" w:styleId="324">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2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26">
    <w:name w:val="_Style 66"/>
    <w:basedOn w:val="1"/>
    <w:qFormat/>
    <w:uiPriority w:val="0"/>
  </w:style>
  <w:style w:type="paragraph" w:customStyle="1" w:styleId="327">
    <w:name w:val="题注4"/>
    <w:basedOn w:val="1"/>
    <w:next w:val="24"/>
    <w:qFormat/>
    <w:uiPriority w:val="0"/>
    <w:pPr>
      <w:ind w:left="-132" w:leftChars="-64" w:right="-105" w:rightChars="-50" w:hanging="2"/>
      <w:jc w:val="center"/>
    </w:pPr>
    <w:rPr>
      <w:b/>
      <w:color w:val="FF0000"/>
      <w:sz w:val="24"/>
      <w:lang w:val="en-GB"/>
    </w:rPr>
  </w:style>
  <w:style w:type="paragraph" w:customStyle="1" w:styleId="328">
    <w:name w:val="普通 (Web)"/>
    <w:basedOn w:val="1"/>
    <w:uiPriority w:val="0"/>
    <w:pPr>
      <w:widowControl/>
      <w:spacing w:before="100" w:beforeAutospacing="1" w:after="100" w:afterAutospacing="1"/>
      <w:jc w:val="left"/>
    </w:pPr>
    <w:rPr>
      <w:rFonts w:ascii="宋体" w:hAnsi="宋体"/>
      <w:kern w:val="0"/>
      <w:sz w:val="24"/>
    </w:rPr>
  </w:style>
  <w:style w:type="paragraph" w:customStyle="1" w:styleId="329">
    <w:name w:val="Char Char1"/>
    <w:basedOn w:val="1"/>
    <w:qFormat/>
    <w:uiPriority w:val="0"/>
    <w:pPr>
      <w:widowControl/>
      <w:spacing w:after="160" w:line="240" w:lineRule="exact"/>
      <w:jc w:val="left"/>
    </w:pPr>
    <w:rPr>
      <w:szCs w:val="20"/>
    </w:rPr>
  </w:style>
  <w:style w:type="paragraph" w:customStyle="1" w:styleId="330">
    <w:name w:val="目录 21"/>
    <w:qFormat/>
    <w:uiPriority w:val="0"/>
    <w:pPr>
      <w:widowControl w:val="0"/>
      <w:tabs>
        <w:tab w:val="right" w:leader="dot" w:pos="9710"/>
      </w:tabs>
      <w:ind w:left="283"/>
    </w:pPr>
    <w:rPr>
      <w:rFonts w:ascii="Times New Roman Bold" w:hAnsi="Times New Roman Bold" w:eastAsia="Times New Roman Bold" w:cs="Times New Roman Bold"/>
      <w:color w:val="000000"/>
      <w:kern w:val="2"/>
      <w:u w:color="000000"/>
      <w:lang w:val="en-US" w:eastAsia="zh-CN" w:bidi="ar-SA"/>
    </w:rPr>
  </w:style>
  <w:style w:type="paragraph" w:customStyle="1" w:styleId="33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2">
    <w:name w:val="af15hichaf0dbchf15cgrid"/>
    <w:qFormat/>
    <w:uiPriority w:val="0"/>
    <w:pPr>
      <w:widowControl w:val="0"/>
      <w:tabs>
        <w:tab w:val="left" w:pos="992"/>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333">
    <w:name w:val="索引 41"/>
    <w:basedOn w:val="1"/>
    <w:next w:val="1"/>
    <w:qFormat/>
    <w:uiPriority w:val="0"/>
    <w:pPr>
      <w:ind w:left="600" w:leftChars="600"/>
    </w:pPr>
  </w:style>
  <w:style w:type="paragraph" w:customStyle="1" w:styleId="33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35">
    <w:name w:val="简单回函地址"/>
    <w:basedOn w:val="1"/>
    <w:qFormat/>
    <w:uiPriority w:val="0"/>
  </w:style>
  <w:style w:type="paragraph" w:customStyle="1" w:styleId="336">
    <w:name w:val="表格5"/>
    <w:basedOn w:val="337"/>
    <w:qFormat/>
    <w:uiPriority w:val="0"/>
    <w:pPr>
      <w:ind w:left="1021" w:hanging="284"/>
    </w:pPr>
    <w:rPr>
      <w:rFonts w:ascii="宋体"/>
    </w:rPr>
  </w:style>
  <w:style w:type="paragraph" w:customStyle="1" w:styleId="337">
    <w:name w:val="表格2"/>
    <w:basedOn w:val="1"/>
    <w:qFormat/>
    <w:uiPriority w:val="0"/>
    <w:pPr>
      <w:adjustRightInd w:val="0"/>
      <w:spacing w:line="420" w:lineRule="atLeast"/>
      <w:ind w:left="284" w:firstLine="454"/>
      <w:textAlignment w:val="baseline"/>
    </w:pPr>
    <w:rPr>
      <w:kern w:val="0"/>
      <w:szCs w:val="20"/>
    </w:rPr>
  </w:style>
  <w:style w:type="paragraph" w:customStyle="1" w:styleId="338">
    <w:name w:val="Char Char Char Char Char Char Char Char Char Char"/>
    <w:qFormat/>
    <w:uiPriority w:val="0"/>
    <w:pPr>
      <w:widowControl w:val="0"/>
      <w:jc w:val="both"/>
    </w:pPr>
    <w:rPr>
      <w:rFonts w:hint="eastAsia" w:ascii="Arial Unicode MS" w:hAnsi="Arial Unicode MS" w:eastAsia="Arial Unicode MS" w:cs="Arial Unicode MS"/>
      <w:color w:val="000000"/>
      <w:kern w:val="2"/>
      <w:sz w:val="24"/>
      <w:szCs w:val="24"/>
      <w:u w:color="000000"/>
      <w:lang w:val="en-US" w:eastAsia="zh-CN" w:bidi="ar-SA"/>
    </w:rPr>
  </w:style>
  <w:style w:type="paragraph" w:customStyle="1" w:styleId="339">
    <w:name w:val="修订1"/>
    <w:qFormat/>
    <w:uiPriority w:val="0"/>
    <w:rPr>
      <w:rFonts w:ascii="Times New Roman" w:hAnsi="Times New Roman" w:eastAsia="宋体" w:cs="Times New Roman"/>
      <w:kern w:val="2"/>
      <w:sz w:val="21"/>
      <w:szCs w:val="24"/>
      <w:lang w:val="en-US" w:eastAsia="zh-CN" w:bidi="ar-SA"/>
    </w:rPr>
  </w:style>
  <w:style w:type="paragraph" w:customStyle="1" w:styleId="340">
    <w:name w:val="Char Char Char Char Char Char Char Char Char Char Char"/>
    <w:basedOn w:val="5"/>
    <w:qFormat/>
    <w:uiPriority w:val="0"/>
    <w:pPr>
      <w:ind w:left="3"/>
    </w:pPr>
    <w:rPr>
      <w:rFonts w:ascii="Times New Roman" w:hAnsi="Times New Roman" w:eastAsia="宋体"/>
      <w:b w:val="0"/>
      <w:bCs w:val="0"/>
      <w:sz w:val="24"/>
      <w:szCs w:val="24"/>
      <w:lang w:val="en-US"/>
    </w:rPr>
  </w:style>
  <w:style w:type="paragraph" w:customStyle="1" w:styleId="341">
    <w:name w:val="Char Char1 Char Char Char Char Char Char Char Char Char Char Char Char Char Char Char Char Char Char Char"/>
    <w:basedOn w:val="1"/>
    <w:qFormat/>
    <w:uiPriority w:val="0"/>
    <w:pPr>
      <w:widowControl/>
      <w:jc w:val="left"/>
    </w:pPr>
  </w:style>
  <w:style w:type="paragraph" w:customStyle="1" w:styleId="342">
    <w:name w:val="Char Char Char Char Char Char Char"/>
    <w:basedOn w:val="1"/>
    <w:qFormat/>
    <w:uiPriority w:val="0"/>
    <w:pPr>
      <w:widowControl/>
      <w:adjustRightInd w:val="0"/>
      <w:spacing w:after="160" w:line="240" w:lineRule="exact"/>
      <w:jc w:val="left"/>
    </w:pPr>
    <w:rPr>
      <w:rFonts w:ascii="仿宋_GB2312" w:eastAsia="仿宋_GB2312"/>
      <w:sz w:val="32"/>
    </w:rPr>
  </w:style>
  <w:style w:type="paragraph" w:customStyle="1" w:styleId="343">
    <w:name w:val="目录2"/>
    <w:basedOn w:val="1"/>
    <w:qFormat/>
    <w:uiPriority w:val="0"/>
    <w:pPr>
      <w:adjustRightInd w:val="0"/>
      <w:spacing w:line="420" w:lineRule="atLeast"/>
      <w:ind w:left="227"/>
      <w:textAlignment w:val="baseline"/>
    </w:pPr>
    <w:rPr>
      <w:kern w:val="0"/>
      <w:szCs w:val="20"/>
    </w:rPr>
  </w:style>
  <w:style w:type="paragraph" w:customStyle="1" w:styleId="344">
    <w:name w:val="页脚 New"/>
    <w:basedOn w:val="345"/>
    <w:qFormat/>
    <w:uiPriority w:val="0"/>
    <w:pPr>
      <w:tabs>
        <w:tab w:val="center" w:pos="4153"/>
        <w:tab w:val="right" w:pos="8306"/>
      </w:tabs>
      <w:snapToGrid w:val="0"/>
      <w:jc w:val="left"/>
    </w:pPr>
    <w:rPr>
      <w:rFonts w:hint="default" w:ascii="Times New Roman" w:hAnsi="Times New Roman" w:eastAsia="宋体" w:cs="Times New Roman"/>
      <w:color w:val="auto"/>
      <w:sz w:val="18"/>
      <w:szCs w:val="18"/>
    </w:rPr>
  </w:style>
  <w:style w:type="paragraph" w:customStyle="1" w:styleId="345">
    <w:name w:val="正文 New"/>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346">
    <w:name w:val="表格方字"/>
    <w:basedOn w:val="1"/>
    <w:qFormat/>
    <w:uiPriority w:val="0"/>
    <w:pPr>
      <w:adjustRightInd w:val="0"/>
      <w:spacing w:before="60" w:after="60" w:line="420" w:lineRule="atLeast"/>
      <w:jc w:val="left"/>
      <w:textAlignment w:val="baseline"/>
    </w:pPr>
    <w:rPr>
      <w:kern w:val="0"/>
      <w:szCs w:val="20"/>
    </w:rPr>
  </w:style>
  <w:style w:type="paragraph" w:customStyle="1" w:styleId="347">
    <w:name w:val="默认"/>
    <w:qFormat/>
    <w:uiPriority w:val="0"/>
    <w:rPr>
      <w:rFonts w:ascii="Helvetica" w:hAnsi="Helvetica" w:eastAsia="Helvetica" w:cs="Helvetica"/>
      <w:color w:val="000000"/>
      <w:sz w:val="22"/>
      <w:szCs w:val="22"/>
      <w:lang w:val="en-US" w:eastAsia="zh-CN" w:bidi="ar-SA"/>
    </w:rPr>
  </w:style>
  <w:style w:type="paragraph" w:customStyle="1" w:styleId="348">
    <w:name w:val="表"/>
    <w:basedOn w:val="1"/>
    <w:uiPriority w:val="0"/>
    <w:pPr>
      <w:adjustRightInd w:val="0"/>
      <w:spacing w:line="360" w:lineRule="atLeast"/>
      <w:ind w:hanging="18"/>
      <w:textAlignment w:val="baseline"/>
    </w:pPr>
    <w:rPr>
      <w:rFonts w:ascii="宋体" w:hAnsi="宋体"/>
      <w:snapToGrid w:val="0"/>
      <w:spacing w:val="-2"/>
      <w:kern w:val="0"/>
      <w:szCs w:val="21"/>
      <w:lang w:bidi="he-IL"/>
    </w:rPr>
  </w:style>
  <w:style w:type="paragraph" w:customStyle="1" w:styleId="349">
    <w:name w:val="条文1"/>
    <w:basedOn w:val="1"/>
    <w:qFormat/>
    <w:uiPriority w:val="0"/>
    <w:pPr>
      <w:tabs>
        <w:tab w:val="left" w:pos="720"/>
      </w:tabs>
      <w:spacing w:line="360" w:lineRule="auto"/>
    </w:pPr>
    <w:rPr>
      <w:rFonts w:ascii="宋体" w:hAnsi="宋体"/>
      <w:bCs/>
      <w:kern w:val="44"/>
      <w:sz w:val="24"/>
      <w:szCs w:val="44"/>
    </w:rPr>
  </w:style>
  <w:style w:type="paragraph" w:customStyle="1" w:styleId="350">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351">
    <w:name w:val="Char Char Char Char Char Char1 Char"/>
    <w:basedOn w:val="1"/>
    <w:qFormat/>
    <w:uiPriority w:val="0"/>
    <w:pPr>
      <w:spacing w:line="360" w:lineRule="auto"/>
      <w:ind w:firstLine="200" w:firstLineChars="200"/>
    </w:pPr>
    <w:rPr>
      <w:rFonts w:ascii="宋体" w:hAnsi="宋体" w:cs="宋体"/>
      <w:sz w:val="24"/>
      <w:szCs w:val="20"/>
    </w:rPr>
  </w:style>
  <w:style w:type="paragraph" w:customStyle="1" w:styleId="352">
    <w:name w:val="表格文字"/>
    <w:basedOn w:val="1"/>
    <w:qFormat/>
    <w:uiPriority w:val="0"/>
    <w:pPr>
      <w:adjustRightInd w:val="0"/>
      <w:spacing w:line="420" w:lineRule="atLeast"/>
      <w:jc w:val="left"/>
      <w:textAlignment w:val="baseline"/>
    </w:pPr>
    <w:rPr>
      <w:kern w:val="0"/>
      <w:szCs w:val="20"/>
    </w:rPr>
  </w:style>
  <w:style w:type="paragraph" w:customStyle="1" w:styleId="353">
    <w:name w:val="样式2"/>
    <w:basedOn w:val="4"/>
    <w:qFormat/>
    <w:uiPriority w:val="0"/>
    <w:pPr>
      <w:spacing w:line="415" w:lineRule="auto"/>
      <w:ind w:firstLine="137" w:firstLineChars="49"/>
    </w:pPr>
    <w:rPr>
      <w:rFonts w:ascii="黑体" w:hAnsi="宋体" w:eastAsia="黑体"/>
      <w:b w:val="0"/>
      <w:i/>
      <w:sz w:val="24"/>
      <w:szCs w:val="28"/>
      <w:lang w:val="en-US"/>
    </w:rPr>
  </w:style>
  <w:style w:type="paragraph" w:customStyle="1" w:styleId="354">
    <w:name w:val="表中"/>
    <w:basedOn w:val="1"/>
    <w:qFormat/>
    <w:uiPriority w:val="0"/>
    <w:pPr>
      <w:adjustRightInd w:val="0"/>
      <w:spacing w:line="360" w:lineRule="atLeast"/>
      <w:jc w:val="center"/>
      <w:textAlignment w:val="baseline"/>
    </w:pPr>
    <w:rPr>
      <w:kern w:val="0"/>
      <w:szCs w:val="20"/>
    </w:rPr>
  </w:style>
  <w:style w:type="paragraph" w:customStyle="1" w:styleId="355">
    <w:name w:val="列出段落1"/>
    <w:basedOn w:val="1"/>
    <w:qFormat/>
    <w:uiPriority w:val="0"/>
    <w:pPr>
      <w:ind w:firstLine="420" w:firstLineChars="200"/>
    </w:pPr>
    <w:rPr>
      <w:rFonts w:ascii="Calibri" w:hAnsi="Calibri"/>
      <w:szCs w:val="22"/>
    </w:rPr>
  </w:style>
  <w:style w:type="paragraph" w:customStyle="1" w:styleId="356">
    <w:name w:val="È¡ÀÊ¡ÎÄ¡À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57">
    <w:name w:val="TOC 标题1"/>
    <w:basedOn w:val="2"/>
    <w:next w:val="1"/>
    <w:qFormat/>
    <w:uiPriority w:val="0"/>
    <w:pPr>
      <w:spacing w:line="576" w:lineRule="auto"/>
      <w:outlineLvl w:val="9"/>
    </w:pPr>
    <w:rPr>
      <w:rFonts w:ascii="Calibri" w:hAnsi="Calibri"/>
    </w:rPr>
  </w:style>
  <w:style w:type="paragraph" w:customStyle="1" w:styleId="358">
    <w:name w:val="正文 New New New New New New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9">
    <w:name w:val="修订2"/>
    <w:qFormat/>
    <w:uiPriority w:val="0"/>
    <w:rPr>
      <w:rFonts w:ascii="Times New Roman" w:hAnsi="Times New Roman" w:eastAsia="宋体" w:cs="Times New Roman"/>
      <w:kern w:val="2"/>
      <w:sz w:val="21"/>
      <w:szCs w:val="24"/>
      <w:lang w:val="en-US" w:eastAsia="zh-CN" w:bidi="ar-SA"/>
    </w:rPr>
  </w:style>
  <w:style w:type="paragraph" w:customStyle="1" w:styleId="360">
    <w:name w:val="目录文字"/>
    <w:basedOn w:val="1"/>
    <w:qFormat/>
    <w:uiPriority w:val="0"/>
    <w:pPr>
      <w:widowControl/>
      <w:spacing w:line="480" w:lineRule="auto"/>
      <w:jc w:val="left"/>
    </w:pPr>
    <w:rPr>
      <w:rFonts w:ascii="宋体" w:hAnsi="宋体"/>
      <w:kern w:val="0"/>
      <w:sz w:val="24"/>
      <w:szCs w:val="20"/>
    </w:rPr>
  </w:style>
  <w:style w:type="paragraph" w:customStyle="1" w:styleId="361">
    <w:name w:val="标书标1"/>
    <w:basedOn w:val="1"/>
    <w:qFormat/>
    <w:uiPriority w:val="0"/>
    <w:pPr>
      <w:jc w:val="center"/>
    </w:pPr>
    <w:rPr>
      <w:rFonts w:ascii="宋体" w:hAnsi="宋体"/>
      <w:b/>
      <w:bCs/>
      <w:spacing w:val="20"/>
      <w:sz w:val="32"/>
    </w:rPr>
  </w:style>
  <w:style w:type="paragraph" w:customStyle="1" w:styleId="36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363">
    <w:name w:val="默认段落字体 Para Char"/>
    <w:basedOn w:val="1"/>
    <w:uiPriority w:val="0"/>
  </w:style>
  <w:style w:type="paragraph" w:customStyle="1" w:styleId="364">
    <w:name w:val="Char1"/>
    <w:basedOn w:val="1"/>
    <w:qFormat/>
    <w:uiPriority w:val="0"/>
  </w:style>
  <w:style w:type="paragraph" w:customStyle="1" w:styleId="365">
    <w:name w:val="p0"/>
    <w:basedOn w:val="1"/>
    <w:qFormat/>
    <w:uiPriority w:val="0"/>
    <w:pPr>
      <w:widowControl/>
    </w:pPr>
    <w:rPr>
      <w:kern w:val="0"/>
      <w:szCs w:val="21"/>
    </w:rPr>
  </w:style>
  <w:style w:type="paragraph" w:customStyle="1" w:styleId="366">
    <w:name w:val="Char Char Char Char Char Char Char Char Char Char Char Char Char Char Char Char Char Char1 Char Char Char Char"/>
    <w:basedOn w:val="1"/>
    <w:qFormat/>
    <w:uiPriority w:val="0"/>
  </w:style>
  <w:style w:type="paragraph" w:customStyle="1" w:styleId="367">
    <w:name w:val="普通(网站)1"/>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customStyle="1" w:styleId="368">
    <w:name w:val="正文缩进1"/>
    <w:basedOn w:val="1"/>
    <w:qFormat/>
    <w:uiPriority w:val="0"/>
    <w:pPr>
      <w:adjustRightInd w:val="0"/>
      <w:spacing w:line="360" w:lineRule="atLeast"/>
      <w:ind w:firstLine="482"/>
      <w:textAlignment w:val="baseline"/>
    </w:pPr>
    <w:rPr>
      <w:kern w:val="0"/>
      <w:sz w:val="24"/>
      <w:szCs w:val="20"/>
    </w:rPr>
  </w:style>
  <w:style w:type="paragraph" w:styleId="36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71">
    <w:name w:val="文二"/>
    <w:basedOn w:val="1"/>
    <w:qFormat/>
    <w:uiPriority w:val="0"/>
    <w:pPr>
      <w:jc w:val="left"/>
    </w:pPr>
    <w:rPr>
      <w:rFonts w:ascii="宋体" w:hAnsi="宋体"/>
      <w:szCs w:val="21"/>
    </w:rPr>
  </w:style>
  <w:style w:type="paragraph" w:customStyle="1" w:styleId="372">
    <w:name w:val="Char"/>
    <w:basedOn w:val="1"/>
    <w:qFormat/>
    <w:uiPriority w:val="0"/>
    <w:rPr>
      <w:rFonts w:ascii="Tahoma" w:hAnsi="Tahoma"/>
      <w:sz w:val="24"/>
      <w:szCs w:val="20"/>
    </w:rPr>
  </w:style>
  <w:style w:type="paragraph" w:customStyle="1" w:styleId="373">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374">
    <w:name w:val="表格6"/>
    <w:basedOn w:val="1"/>
    <w:qFormat/>
    <w:uiPriority w:val="0"/>
    <w:pPr>
      <w:adjustRightInd w:val="0"/>
      <w:spacing w:line="420" w:lineRule="atLeast"/>
      <w:ind w:left="737"/>
      <w:textAlignment w:val="baseline"/>
    </w:pPr>
    <w:rPr>
      <w:rFonts w:ascii="宋体"/>
      <w:kern w:val="0"/>
      <w:szCs w:val="20"/>
    </w:rPr>
  </w:style>
  <w:style w:type="paragraph" w:customStyle="1" w:styleId="375">
    <w:name w:val="p18"/>
    <w:basedOn w:val="1"/>
    <w:qFormat/>
    <w:uiPriority w:val="0"/>
    <w:pPr>
      <w:widowControl/>
      <w:ind w:left="1050"/>
    </w:pPr>
    <w:rPr>
      <w:rFonts w:ascii="Calibri" w:hAnsi="Calibri" w:cs="宋体"/>
      <w:kern w:val="0"/>
      <w:szCs w:val="21"/>
    </w:rPr>
  </w:style>
  <w:style w:type="paragraph" w:customStyle="1" w:styleId="376">
    <w:name w:val="xl41"/>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kern w:val="0"/>
      <w:sz w:val="24"/>
    </w:rPr>
  </w:style>
  <w:style w:type="paragraph" w:customStyle="1" w:styleId="37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78">
    <w:name w:val="默认段落字体 Para Char Char Char Char"/>
    <w:basedOn w:val="1"/>
    <w:qFormat/>
    <w:uiPriority w:val="0"/>
    <w:rPr>
      <w:sz w:val="24"/>
    </w:rPr>
  </w:style>
  <w:style w:type="paragraph" w:customStyle="1" w:styleId="379">
    <w:name w:val="Char Char Char Char Char1 Char"/>
    <w:basedOn w:val="1"/>
    <w:qFormat/>
    <w:uiPriority w:val="0"/>
  </w:style>
  <w:style w:type="paragraph" w:customStyle="1" w:styleId="380">
    <w:name w:val="Char Char Char Char Char Char Char Char Char Char1"/>
    <w:basedOn w:val="1"/>
    <w:qFormat/>
    <w:uiPriority w:val="0"/>
    <w:rPr>
      <w:rFonts w:ascii="Tahoma" w:hAnsi="Tahoma"/>
      <w:sz w:val="24"/>
      <w:szCs w:val="20"/>
    </w:rPr>
  </w:style>
  <w:style w:type="paragraph" w:customStyle="1" w:styleId="381">
    <w:name w:val="Char Char Char Char Char Char Char1"/>
    <w:basedOn w:val="1"/>
    <w:qFormat/>
    <w:uiPriority w:val="0"/>
    <w:rPr>
      <w:rFonts w:ascii="Tahoma" w:hAnsi="Tahoma" w:eastAsia="Times New Roman"/>
      <w:kern w:val="0"/>
      <w:sz w:val="24"/>
      <w:szCs w:val="20"/>
    </w:rPr>
  </w:style>
  <w:style w:type="paragraph" w:customStyle="1" w:styleId="382">
    <w:name w:val="Char Char1 Char Char Char"/>
    <w:basedOn w:val="1"/>
    <w:qFormat/>
    <w:uiPriority w:val="0"/>
    <w:rPr>
      <w:kern w:val="0"/>
      <w:sz w:val="20"/>
      <w:szCs w:val="20"/>
    </w:rPr>
  </w:style>
  <w:style w:type="paragraph" w:customStyle="1" w:styleId="383">
    <w:name w:val="表头"/>
    <w:basedOn w:val="1"/>
    <w:qFormat/>
    <w:uiPriority w:val="0"/>
    <w:pPr>
      <w:adjustRightInd w:val="0"/>
      <w:spacing w:before="120" w:after="60" w:line="420" w:lineRule="atLeast"/>
      <w:textAlignment w:val="baseline"/>
    </w:pPr>
    <w:rPr>
      <w:rFonts w:ascii="黑体" w:eastAsia="黑体"/>
      <w:b/>
      <w:kern w:val="0"/>
      <w:szCs w:val="20"/>
    </w:rPr>
  </w:style>
  <w:style w:type="paragraph" w:customStyle="1" w:styleId="38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38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8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388">
    <w:name w:val="目录 11"/>
    <w:qFormat/>
    <w:uiPriority w:val="0"/>
    <w:pPr>
      <w:widowControl w:val="0"/>
      <w:tabs>
        <w:tab w:val="right" w:leader="dot" w:pos="9710"/>
      </w:tabs>
      <w:spacing w:line="360" w:lineRule="auto"/>
    </w:pPr>
    <w:rPr>
      <w:rFonts w:ascii="Arial Bold" w:hAnsi="Arial Bold" w:eastAsia="Arial Bold" w:cs="Arial Bold"/>
      <w:caps/>
      <w:color w:val="000000"/>
      <w:kern w:val="2"/>
      <w:sz w:val="24"/>
      <w:szCs w:val="24"/>
      <w:u w:color="000000"/>
      <w:lang w:val="en-US" w:eastAsia="zh-CN" w:bidi="ar-SA"/>
    </w:rPr>
  </w:style>
  <w:style w:type="paragraph" w:customStyle="1" w:styleId="389">
    <w:name w:val="表格4"/>
    <w:basedOn w:val="1"/>
    <w:qFormat/>
    <w:uiPriority w:val="0"/>
    <w:pPr>
      <w:adjustRightInd w:val="0"/>
      <w:spacing w:line="420" w:lineRule="atLeast"/>
      <w:ind w:left="1021"/>
      <w:textAlignment w:val="baseline"/>
    </w:pPr>
    <w:rPr>
      <w:kern w:val="0"/>
      <w:szCs w:val="20"/>
    </w:rPr>
  </w:style>
  <w:style w:type="paragraph" w:customStyle="1" w:styleId="390">
    <w:name w:val="目录"/>
    <w:basedOn w:val="1"/>
    <w:qFormat/>
    <w:uiPriority w:val="0"/>
    <w:pPr>
      <w:widowControl/>
      <w:jc w:val="center"/>
    </w:pPr>
    <w:rPr>
      <w:rFonts w:ascii="宋体"/>
      <w:b/>
      <w:kern w:val="0"/>
      <w:sz w:val="36"/>
      <w:szCs w:val="20"/>
    </w:rPr>
  </w:style>
  <w:style w:type="paragraph" w:customStyle="1" w:styleId="391">
    <w:name w:val="样式1"/>
    <w:basedOn w:val="1"/>
    <w:next w:val="5"/>
    <w:qFormat/>
    <w:uiPriority w:val="0"/>
    <w:pPr>
      <w:spacing w:line="360" w:lineRule="auto"/>
      <w:ind w:firstLine="420" w:firstLineChars="200"/>
    </w:pPr>
    <w:rPr>
      <w:rFonts w:ascii="宋体" w:hAnsi="宋体"/>
      <w:szCs w:val="21"/>
    </w:rPr>
  </w:style>
  <w:style w:type="paragraph" w:customStyle="1" w:styleId="392">
    <w:name w:val="表格3"/>
    <w:basedOn w:val="1"/>
    <w:qFormat/>
    <w:uiPriority w:val="0"/>
    <w:pPr>
      <w:adjustRightInd w:val="0"/>
      <w:spacing w:line="420" w:lineRule="atLeast"/>
      <w:textAlignment w:val="baseline"/>
    </w:pPr>
    <w:rPr>
      <w:rFonts w:eastAsia="楷体"/>
      <w:kern w:val="0"/>
      <w:szCs w:val="20"/>
    </w:rPr>
  </w:style>
  <w:style w:type="paragraph" w:customStyle="1" w:styleId="393">
    <w:name w:val="默认段落字体 Para Char Char Char Char Char Char Char"/>
    <w:basedOn w:val="1"/>
    <w:qFormat/>
    <w:uiPriority w:val="0"/>
    <w:rPr>
      <w:rFonts w:ascii="Tahoma" w:hAnsi="Tahoma" w:cs="Tahoma"/>
      <w:sz w:val="24"/>
    </w:rPr>
  </w:style>
  <w:style w:type="paragraph" w:customStyle="1" w:styleId="394">
    <w:name w:val="合同专用条款3"/>
    <w:basedOn w:val="1"/>
    <w:qFormat/>
    <w:uiPriority w:val="0"/>
    <w:pPr>
      <w:spacing w:line="300" w:lineRule="auto"/>
      <w:jc w:val="left"/>
    </w:pPr>
    <w:rPr>
      <w:rFonts w:ascii="黑体" w:hAnsi="黑体"/>
      <w:bCs/>
      <w:szCs w:val="30"/>
    </w:rPr>
  </w:style>
  <w:style w:type="paragraph" w:customStyle="1" w:styleId="395">
    <w:name w:val="custom_unionstyle"/>
    <w:basedOn w:val="1"/>
    <w:qFormat/>
    <w:uiPriority w:val="0"/>
    <w:pPr>
      <w:widowControl/>
      <w:jc w:val="left"/>
    </w:pPr>
    <w:rPr>
      <w:rFonts w:ascii="宋体" w:hAnsi="宋体" w:cs="宋体"/>
      <w:kern w:val="0"/>
      <w:sz w:val="24"/>
    </w:rPr>
  </w:style>
  <w:style w:type="paragraph" w:customStyle="1" w:styleId="396">
    <w:name w:val="小节标题"/>
    <w:basedOn w:val="1"/>
    <w:qFormat/>
    <w:uiPriority w:val="0"/>
    <w:pPr>
      <w:spacing w:line="360" w:lineRule="auto"/>
      <w:ind w:firstLine="480" w:firstLineChars="200"/>
      <w:jc w:val="left"/>
    </w:pPr>
    <w:rPr>
      <w:rFonts w:ascii="宋体" w:hAnsi="宋体" w:cs="仿宋_GB2312"/>
      <w:kern w:val="0"/>
      <w:sz w:val="24"/>
      <w:szCs w:val="20"/>
    </w:rPr>
  </w:style>
  <w:style w:type="paragraph" w:customStyle="1" w:styleId="397">
    <w:name w:val="样式 行距: 固定值 22 磅"/>
    <w:basedOn w:val="1"/>
    <w:qFormat/>
    <w:uiPriority w:val="0"/>
    <w:pPr>
      <w:shd w:val="clear" w:color="auto" w:fill="FFFFFF"/>
      <w:spacing w:line="440" w:lineRule="exact"/>
    </w:pPr>
    <w:rPr>
      <w:rFonts w:cs="宋体"/>
      <w:szCs w:val="20"/>
    </w:rPr>
  </w:style>
  <w:style w:type="paragraph" w:customStyle="1" w:styleId="398">
    <w:name w:val="正文文本缩进 21"/>
    <w:basedOn w:val="1"/>
    <w:qFormat/>
    <w:uiPriority w:val="0"/>
    <w:pPr>
      <w:adjustRightInd w:val="0"/>
      <w:spacing w:line="400" w:lineRule="atLeast"/>
      <w:ind w:firstLine="540"/>
      <w:textAlignment w:val="baseline"/>
    </w:pPr>
    <w:rPr>
      <w:rFonts w:ascii="宋体"/>
      <w:kern w:val="0"/>
      <w:sz w:val="24"/>
      <w:szCs w:val="20"/>
    </w:rPr>
  </w:style>
  <w:style w:type="paragraph" w:customStyle="1" w:styleId="399">
    <w:name w:val="Char2"/>
    <w:basedOn w:val="1"/>
    <w:qFormat/>
    <w:uiPriority w:val="0"/>
    <w:pPr>
      <w:adjustRightInd w:val="0"/>
      <w:snapToGrid w:val="0"/>
      <w:spacing w:line="360" w:lineRule="auto"/>
      <w:ind w:firstLine="200"/>
      <w:jc w:val="left"/>
    </w:pPr>
  </w:style>
  <w:style w:type="paragraph" w:customStyle="1" w:styleId="400">
    <w:name w:val="正文文本 21"/>
    <w:basedOn w:val="1"/>
    <w:qFormat/>
    <w:uiPriority w:val="0"/>
    <w:pPr>
      <w:autoSpaceDE w:val="0"/>
      <w:autoSpaceDN w:val="0"/>
      <w:adjustRightInd w:val="0"/>
      <w:spacing w:line="380" w:lineRule="atLeast"/>
      <w:textAlignment w:val="baseline"/>
    </w:pPr>
    <w:rPr>
      <w:spacing w:val="10"/>
      <w:kern w:val="0"/>
      <w:sz w:val="24"/>
      <w:szCs w:val="20"/>
    </w:rPr>
  </w:style>
  <w:style w:type="paragraph" w:customStyle="1" w:styleId="401">
    <w:name w:val="Char Char Char Char1"/>
    <w:basedOn w:val="27"/>
    <w:qFormat/>
    <w:uiPriority w:val="0"/>
    <w:rPr>
      <w:rFonts w:ascii="Tahoma" w:hAnsi="Tahoma"/>
      <w:sz w:val="24"/>
    </w:rPr>
  </w:style>
  <w:style w:type="paragraph" w:customStyle="1" w:styleId="40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3">
    <w:name w:val="Char Char Char Char Char Char"/>
    <w:basedOn w:val="1"/>
    <w:qFormat/>
    <w:uiPriority w:val="0"/>
  </w:style>
  <w:style w:type="paragraph" w:customStyle="1" w:styleId="404">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405">
    <w:name w:val="TOC 标题11"/>
    <w:basedOn w:val="2"/>
    <w:next w:val="1"/>
    <w:qFormat/>
    <w:uiPriority w:val="0"/>
    <w:pPr>
      <w:spacing w:line="576" w:lineRule="auto"/>
      <w:outlineLvl w:val="9"/>
    </w:pPr>
    <w:rPr>
      <w:rFonts w:ascii="Calibri" w:hAnsi="Calibri"/>
    </w:rPr>
  </w:style>
  <w:style w:type="paragraph" w:customStyle="1" w:styleId="406">
    <w:name w:val="目录 31"/>
    <w:qFormat/>
    <w:uiPriority w:val="0"/>
    <w:rPr>
      <w:rFonts w:ascii="Calibri" w:hAnsi="Calibri" w:eastAsia="Calibri" w:cs="Calibri"/>
      <w:color w:val="000000"/>
      <w:lang w:val="en-US" w:eastAsia="zh-CN" w:bidi="ar-SA"/>
    </w:rPr>
  </w:style>
  <w:style w:type="paragraph" w:customStyle="1" w:styleId="407">
    <w:name w:val="注"/>
    <w:basedOn w:val="1"/>
    <w:qFormat/>
    <w:uiPriority w:val="0"/>
    <w:pPr>
      <w:adjustRightInd w:val="0"/>
      <w:spacing w:line="300" w:lineRule="atLeast"/>
      <w:ind w:left="510" w:hanging="510"/>
      <w:textAlignment w:val="baseline"/>
    </w:pPr>
    <w:rPr>
      <w:spacing w:val="14"/>
      <w:sz w:val="18"/>
      <w:szCs w:val="20"/>
    </w:rPr>
  </w:style>
  <w:style w:type="paragraph" w:customStyle="1" w:styleId="408">
    <w:name w:val="表格"/>
    <w:basedOn w:val="1"/>
    <w:qFormat/>
    <w:uiPriority w:val="0"/>
    <w:pPr>
      <w:jc w:val="center"/>
      <w:textAlignment w:val="center"/>
    </w:pPr>
    <w:rPr>
      <w:rFonts w:ascii="华文细黑" w:hAnsi="华文细黑"/>
      <w:kern w:val="0"/>
      <w:szCs w:val="20"/>
    </w:rPr>
  </w:style>
  <w:style w:type="paragraph" w:customStyle="1" w:styleId="409">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410">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411">
    <w:name w:val="目录1"/>
    <w:basedOn w:val="1"/>
    <w:qFormat/>
    <w:uiPriority w:val="0"/>
    <w:pPr>
      <w:adjustRightInd w:val="0"/>
      <w:spacing w:line="420" w:lineRule="atLeast"/>
      <w:textAlignment w:val="baseline"/>
    </w:pPr>
    <w:rPr>
      <w:rFonts w:eastAsia="黑体"/>
      <w:b/>
      <w:kern w:val="0"/>
      <w:szCs w:val="20"/>
    </w:rPr>
  </w:style>
  <w:style w:type="paragraph" w:customStyle="1" w:styleId="412">
    <w:name w:val="表格1"/>
    <w:basedOn w:val="1"/>
    <w:qFormat/>
    <w:uiPriority w:val="0"/>
    <w:pPr>
      <w:adjustRightInd w:val="0"/>
      <w:spacing w:line="420" w:lineRule="atLeast"/>
      <w:ind w:left="284"/>
      <w:textAlignment w:val="baseline"/>
    </w:pPr>
    <w:rPr>
      <w:kern w:val="0"/>
      <w:szCs w:val="20"/>
    </w:rPr>
  </w:style>
  <w:style w:type="paragraph" w:customStyle="1" w:styleId="413">
    <w:name w:val="Char Char Char Char Char Char1"/>
    <w:basedOn w:val="1"/>
    <w:qFormat/>
    <w:uiPriority w:val="0"/>
  </w:style>
  <w:style w:type="paragraph" w:customStyle="1" w:styleId="414">
    <w:name w:val="2"/>
    <w:basedOn w:val="1"/>
    <w:qFormat/>
    <w:uiPriority w:val="0"/>
    <w:pPr>
      <w:adjustRightInd w:val="0"/>
      <w:spacing w:line="420" w:lineRule="atLeast"/>
      <w:ind w:left="1134" w:hanging="227"/>
      <w:textAlignment w:val="baseline"/>
    </w:pPr>
    <w:rPr>
      <w:kern w:val="0"/>
      <w:szCs w:val="20"/>
    </w:rPr>
  </w:style>
  <w:style w:type="paragraph" w:customStyle="1" w:styleId="415">
    <w:name w:val="表1"/>
    <w:basedOn w:val="1"/>
    <w:qFormat/>
    <w:uiPriority w:val="0"/>
    <w:pPr>
      <w:tabs>
        <w:tab w:val="left" w:pos="360"/>
      </w:tabs>
      <w:overflowPunct w:val="0"/>
      <w:autoSpaceDE w:val="0"/>
      <w:autoSpaceDN w:val="0"/>
      <w:adjustRightInd w:val="0"/>
      <w:spacing w:before="200" w:line="320" w:lineRule="atLeast"/>
      <w:textAlignment w:val="baseline"/>
    </w:pPr>
    <w:rPr>
      <w:kern w:val="0"/>
      <w:sz w:val="24"/>
      <w:szCs w:val="20"/>
    </w:rPr>
  </w:style>
  <w:style w:type="paragraph" w:customStyle="1" w:styleId="416">
    <w:name w:val="Times New Roman"/>
    <w:basedOn w:val="5"/>
    <w:qFormat/>
    <w:uiPriority w:val="0"/>
    <w:pPr>
      <w:spacing w:before="0" w:after="0" w:line="400" w:lineRule="exact"/>
    </w:pPr>
    <w:rPr>
      <w:rFonts w:ascii="Times New Roman" w:hAnsi="Times New Roman" w:eastAsia="宋体"/>
      <w:b w:val="0"/>
      <w:szCs w:val="24"/>
    </w:rPr>
  </w:style>
  <w:style w:type="paragraph" w:customStyle="1" w:styleId="417">
    <w:name w:val="修订21"/>
    <w:qFormat/>
    <w:uiPriority w:val="0"/>
    <w:rPr>
      <w:rFonts w:ascii="Times New Roman" w:hAnsi="Times New Roman" w:eastAsia="宋体" w:cs="Times New Roman"/>
      <w:kern w:val="2"/>
      <w:sz w:val="21"/>
      <w:szCs w:val="24"/>
      <w:lang w:val="en-US" w:eastAsia="zh-CN" w:bidi="ar-SA"/>
    </w:rPr>
  </w:style>
  <w:style w:type="paragraph" w:customStyle="1" w:styleId="418">
    <w:name w:val="正文_0"/>
    <w:qFormat/>
    <w:uiPriority w:val="0"/>
    <w:pPr>
      <w:widowControl w:val="0"/>
      <w:jc w:val="both"/>
    </w:pPr>
    <w:rPr>
      <w:rFonts w:ascii="Times New Roman" w:hAnsi="Times New Roman" w:eastAsia="宋体" w:cs="Times New Roman"/>
      <w:kern w:val="2"/>
      <w:sz w:val="21"/>
      <w:lang w:val="en-US" w:eastAsia="zh-CN" w:bidi="ar-SA"/>
    </w:rPr>
  </w:style>
  <w:style w:type="paragraph" w:styleId="419">
    <w:name w:val="List Paragraph"/>
    <w:basedOn w:val="1"/>
    <w:qFormat/>
    <w:uiPriority w:val="0"/>
    <w:pPr>
      <w:ind w:firstLine="420" w:firstLineChars="200"/>
    </w:pPr>
    <w:rPr>
      <w:rFonts w:ascii="Calibri" w:hAnsi="Calibri"/>
      <w:szCs w:val="22"/>
    </w:rPr>
  </w:style>
  <w:style w:type="paragraph" w:customStyle="1" w:styleId="420">
    <w:name w:val="Char4"/>
    <w:basedOn w:val="1"/>
    <w:qFormat/>
    <w:uiPriority w:val="0"/>
  </w:style>
  <w:style w:type="paragraph" w:customStyle="1" w:styleId="421">
    <w:name w:val="Char11"/>
    <w:basedOn w:val="1"/>
    <w:qFormat/>
    <w:uiPriority w:val="0"/>
    <w:pPr>
      <w:tabs>
        <w:tab w:val="left" w:pos="360"/>
      </w:tabs>
      <w:ind w:left="360" w:hanging="360"/>
    </w:pPr>
    <w:rPr>
      <w:sz w:val="24"/>
    </w:rPr>
  </w:style>
  <w:style w:type="paragraph" w:customStyle="1" w:styleId="422">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423">
    <w:name w:val="1"/>
    <w:basedOn w:val="1"/>
    <w:next w:val="1"/>
    <w:qFormat/>
    <w:uiPriority w:val="0"/>
  </w:style>
  <w:style w:type="paragraph" w:customStyle="1" w:styleId="424">
    <w:name w:val="p17"/>
    <w:basedOn w:val="1"/>
    <w:qFormat/>
    <w:uiPriority w:val="0"/>
    <w:pPr>
      <w:widowControl/>
      <w:ind w:left="630"/>
    </w:pPr>
    <w:rPr>
      <w:rFonts w:ascii="Calibri" w:hAnsi="Calibri" w:cs="宋体"/>
      <w:kern w:val="0"/>
      <w:szCs w:val="21"/>
    </w:rPr>
  </w:style>
  <w:style w:type="table" w:customStyle="1" w:styleId="425">
    <w:name w:val="Table Normal"/>
    <w:qFormat/>
    <w:uiPriority w:val="0"/>
    <w:tblPr>
      <w:tblLayout w:type="fixed"/>
      <w:tblCellMar>
        <w:top w:w="0" w:type="dxa"/>
        <w:left w:w="0" w:type="dxa"/>
        <w:bottom w:w="0" w:type="dxa"/>
        <w:right w:w="0" w:type="dxa"/>
      </w:tblCellMar>
    </w:tblPr>
  </w:style>
  <w:style w:type="character" w:customStyle="1" w:styleId="426">
    <w:name w:val="注释标题 字符"/>
    <w:qFormat/>
    <w:uiPriority w:val="0"/>
    <w:rPr>
      <w:rFonts w:ascii="Tahoma" w:hAnsi="Tahoma" w:eastAsia="仿宋_GB2312"/>
      <w:kern w:val="2"/>
      <w:sz w:val="32"/>
      <w:szCs w:val="20"/>
      <w:lang w:val="en-US" w:eastAsia="zh-CN"/>
    </w:rPr>
  </w:style>
  <w:style w:type="character" w:customStyle="1" w:styleId="427">
    <w:name w:val="称呼 字符"/>
    <w:qFormat/>
    <w:uiPriority w:val="0"/>
    <w:rPr>
      <w:rFonts w:ascii="Tahoma" w:hAnsi="Tahoma" w:eastAsia="仿宋_GB2312"/>
      <w:kern w:val="2"/>
      <w:sz w:val="32"/>
      <w:szCs w:val="24"/>
      <w:lang w:val="en-US" w:eastAsia="zh-CN"/>
    </w:rPr>
  </w:style>
  <w:style w:type="character" w:customStyle="1" w:styleId="428">
    <w:name w:val="标题 9 字符"/>
    <w:qFormat/>
    <w:uiPriority w:val="0"/>
    <w:rPr>
      <w:rFonts w:ascii="Arial" w:hAnsi="Arial" w:eastAsia="黑体"/>
      <w:sz w:val="21"/>
      <w:szCs w:val="21"/>
    </w:rPr>
  </w:style>
  <w:style w:type="character" w:customStyle="1" w:styleId="429">
    <w:name w:val="正文文本缩进 字符"/>
    <w:qFormat/>
    <w:uiPriority w:val="0"/>
    <w:rPr>
      <w:rFonts w:ascii="Tahoma" w:hAnsi="Tahoma"/>
      <w:kern w:val="2"/>
      <w:sz w:val="21"/>
      <w:szCs w:val="24"/>
    </w:rPr>
  </w:style>
  <w:style w:type="character" w:customStyle="1" w:styleId="430">
    <w:name w:val="正文文本缩进 3 字符"/>
    <w:qFormat/>
    <w:uiPriority w:val="0"/>
    <w:rPr>
      <w:rFonts w:ascii="Tahoma" w:hAnsi="Tahoma"/>
      <w:kern w:val="2"/>
      <w:sz w:val="16"/>
      <w:szCs w:val="16"/>
    </w:rPr>
  </w:style>
  <w:style w:type="character" w:customStyle="1" w:styleId="431">
    <w:name w:val="副标题 字符"/>
    <w:qFormat/>
    <w:uiPriority w:val="0"/>
    <w:rPr>
      <w:rFonts w:ascii="Cambria" w:hAnsi="Cambria"/>
      <w:b/>
      <w:bCs/>
      <w:kern w:val="28"/>
      <w:sz w:val="32"/>
      <w:szCs w:val="32"/>
    </w:rPr>
  </w:style>
  <w:style w:type="character" w:customStyle="1" w:styleId="432">
    <w:name w:val="正文文本缩进 2 字符"/>
    <w:qFormat/>
    <w:uiPriority w:val="0"/>
    <w:rPr>
      <w:rFonts w:ascii="Tahoma" w:hAnsi="Tahoma" w:eastAsia="Times New Roman"/>
      <w:kern w:val="2"/>
      <w:sz w:val="21"/>
      <w:szCs w:val="20"/>
      <w:lang w:val="en-US" w:eastAsia="zh-CN"/>
    </w:rPr>
  </w:style>
  <w:style w:type="character" w:customStyle="1" w:styleId="433">
    <w:name w:val="正文文本 字符"/>
    <w:qFormat/>
    <w:uiPriority w:val="0"/>
    <w:rPr>
      <w:kern w:val="2"/>
      <w:sz w:val="21"/>
      <w:szCs w:val="24"/>
    </w:rPr>
  </w:style>
  <w:style w:type="character" w:customStyle="1" w:styleId="434">
    <w:name w:val="纯文本 字符"/>
    <w:qFormat/>
    <w:uiPriority w:val="0"/>
    <w:rPr>
      <w:rFonts w:ascii="宋体" w:hAnsi="Courier New"/>
      <w:kern w:val="2"/>
      <w:sz w:val="21"/>
    </w:rPr>
  </w:style>
  <w:style w:type="character" w:customStyle="1" w:styleId="435">
    <w:name w:val="标题 2 字符"/>
    <w:qFormat/>
    <w:uiPriority w:val="0"/>
    <w:rPr>
      <w:rFonts w:ascii="Arial" w:hAnsi="Arial" w:eastAsia="黑体"/>
      <w:b/>
      <w:bCs/>
      <w:kern w:val="2"/>
      <w:sz w:val="32"/>
      <w:szCs w:val="32"/>
      <w:lang w:val="en-US" w:eastAsia="zh-CN" w:bidi="ar-SA"/>
    </w:rPr>
  </w:style>
  <w:style w:type="character" w:customStyle="1" w:styleId="436">
    <w:name w:val="文档结构图 字符"/>
    <w:qFormat/>
    <w:uiPriority w:val="0"/>
    <w:rPr>
      <w:kern w:val="2"/>
      <w:sz w:val="21"/>
      <w:szCs w:val="24"/>
      <w:shd w:val="clear" w:color="auto" w:fill="000080"/>
    </w:rPr>
  </w:style>
  <w:style w:type="character" w:customStyle="1" w:styleId="437">
    <w:name w:val="明显引用 字符"/>
    <w:qFormat/>
    <w:uiPriority w:val="0"/>
    <w:rPr>
      <w:b/>
      <w:bCs/>
      <w:i/>
      <w:iCs/>
      <w:color w:val="4F81BD"/>
      <w:kern w:val="2"/>
      <w:sz w:val="21"/>
      <w:szCs w:val="22"/>
    </w:rPr>
  </w:style>
  <w:style w:type="character" w:customStyle="1" w:styleId="438">
    <w:name w:val="结束语 字符"/>
    <w:qFormat/>
    <w:uiPriority w:val="0"/>
    <w:rPr>
      <w:rFonts w:ascii="Tahoma" w:hAnsi="Tahoma" w:eastAsia="仿宋_GB2312"/>
      <w:kern w:val="2"/>
      <w:sz w:val="32"/>
      <w:szCs w:val="20"/>
      <w:lang w:val="en-US" w:eastAsia="zh-CN"/>
    </w:rPr>
  </w:style>
  <w:style w:type="character" w:customStyle="1" w:styleId="439">
    <w:name w:val="标题 8 字符"/>
    <w:qFormat/>
    <w:uiPriority w:val="0"/>
    <w:rPr>
      <w:rFonts w:ascii="Arial" w:hAnsi="Arial" w:eastAsia="黑体"/>
      <w:sz w:val="24"/>
      <w:szCs w:val="24"/>
    </w:rPr>
  </w:style>
  <w:style w:type="character" w:customStyle="1" w:styleId="440">
    <w:name w:val="批注主题 字符"/>
    <w:qFormat/>
    <w:uiPriority w:val="0"/>
    <w:rPr>
      <w:b/>
      <w:bCs/>
      <w:kern w:val="2"/>
      <w:sz w:val="21"/>
      <w:szCs w:val="24"/>
    </w:rPr>
  </w:style>
  <w:style w:type="character" w:customStyle="1" w:styleId="441">
    <w:name w:val="标题 7 字符"/>
    <w:qFormat/>
    <w:uiPriority w:val="0"/>
    <w:rPr>
      <w:b/>
      <w:bCs/>
      <w:sz w:val="24"/>
      <w:szCs w:val="24"/>
    </w:rPr>
  </w:style>
  <w:style w:type="character" w:customStyle="1" w:styleId="442">
    <w:name w:val="页脚 字符"/>
    <w:qFormat/>
    <w:uiPriority w:val="99"/>
    <w:rPr>
      <w:kern w:val="2"/>
      <w:sz w:val="18"/>
      <w:szCs w:val="18"/>
    </w:rPr>
  </w:style>
  <w:style w:type="character" w:customStyle="1" w:styleId="443">
    <w:name w:val="批注文字 字符"/>
    <w:qFormat/>
    <w:uiPriority w:val="0"/>
    <w:rPr>
      <w:rFonts w:ascii="Tahoma" w:hAnsi="Tahoma" w:eastAsia="宋体"/>
      <w:kern w:val="2"/>
      <w:sz w:val="21"/>
      <w:szCs w:val="24"/>
      <w:lang w:val="en-US" w:eastAsia="zh-CN" w:bidi="ar-SA"/>
    </w:rPr>
  </w:style>
  <w:style w:type="character" w:customStyle="1" w:styleId="444">
    <w:name w:val="电子邮件签名 字符"/>
    <w:qFormat/>
    <w:uiPriority w:val="0"/>
    <w:rPr>
      <w:rFonts w:ascii="Tahoma" w:hAnsi="Tahoma" w:eastAsia="仿宋_GB2312"/>
      <w:kern w:val="2"/>
      <w:sz w:val="32"/>
      <w:szCs w:val="20"/>
      <w:lang w:val="en-US" w:eastAsia="zh-CN"/>
    </w:rPr>
  </w:style>
  <w:style w:type="character" w:customStyle="1" w:styleId="445">
    <w:name w:val="批注框文本 字符"/>
    <w:qFormat/>
    <w:uiPriority w:val="0"/>
    <w:rPr>
      <w:kern w:val="2"/>
      <w:sz w:val="18"/>
      <w:szCs w:val="18"/>
    </w:rPr>
  </w:style>
  <w:style w:type="character" w:customStyle="1" w:styleId="446">
    <w:name w:val="脚注文本 字符"/>
    <w:qFormat/>
    <w:uiPriority w:val="0"/>
    <w:rPr>
      <w:rFonts w:ascii="Tahoma" w:hAnsi="Tahoma" w:eastAsia="Times New Roman"/>
      <w:kern w:val="2"/>
      <w:sz w:val="18"/>
      <w:szCs w:val="24"/>
      <w:lang w:val="en-US" w:eastAsia="zh-CN"/>
    </w:rPr>
  </w:style>
  <w:style w:type="character" w:customStyle="1" w:styleId="447">
    <w:name w:val="引用 字符"/>
    <w:qFormat/>
    <w:uiPriority w:val="0"/>
    <w:rPr>
      <w:i/>
      <w:iCs/>
      <w:color w:val="000000"/>
      <w:kern w:val="2"/>
      <w:sz w:val="21"/>
      <w:szCs w:val="22"/>
    </w:rPr>
  </w:style>
  <w:style w:type="character" w:customStyle="1" w:styleId="448">
    <w:name w:val="标题 字符"/>
    <w:qFormat/>
    <w:uiPriority w:val="0"/>
    <w:rPr>
      <w:rFonts w:ascii="Arial" w:hAnsi="Arial"/>
      <w:b/>
      <w:sz w:val="32"/>
    </w:rPr>
  </w:style>
  <w:style w:type="character" w:customStyle="1" w:styleId="449">
    <w:name w:val="正文首行缩进 2 字符"/>
    <w:qFormat/>
    <w:uiPriority w:val="0"/>
    <w:rPr>
      <w:rFonts w:ascii="Tahoma" w:hAnsi="Tahoma" w:eastAsia="仿宋_GB2312"/>
      <w:kern w:val="2"/>
      <w:sz w:val="32"/>
      <w:szCs w:val="24"/>
      <w:lang w:val="en-US" w:eastAsia="zh-CN"/>
    </w:rPr>
  </w:style>
  <w:style w:type="character" w:customStyle="1" w:styleId="450">
    <w:name w:val="标题 1 字符"/>
    <w:qFormat/>
    <w:uiPriority w:val="0"/>
    <w:rPr>
      <w:b/>
      <w:bCs/>
      <w:kern w:val="44"/>
      <w:sz w:val="44"/>
      <w:szCs w:val="44"/>
    </w:rPr>
  </w:style>
  <w:style w:type="character" w:customStyle="1" w:styleId="451">
    <w:name w:val="HTML 预设格式 字符"/>
    <w:qFormat/>
    <w:uiPriority w:val="99"/>
    <w:rPr>
      <w:rFonts w:ascii="Courier New" w:hAnsi="Courier New" w:eastAsia="仿宋_GB2312"/>
      <w:kern w:val="2"/>
      <w:sz w:val="21"/>
      <w:szCs w:val="24"/>
      <w:lang w:val="en-US" w:eastAsia="zh-CN"/>
    </w:rPr>
  </w:style>
  <w:style w:type="character" w:customStyle="1" w:styleId="452">
    <w:name w:val="正文文本 2 字符"/>
    <w:qFormat/>
    <w:uiPriority w:val="0"/>
    <w:rPr>
      <w:rFonts w:ascii="Tahoma" w:hAnsi="Tahoma" w:eastAsia="Times New Roman"/>
      <w:kern w:val="2"/>
      <w:sz w:val="21"/>
      <w:szCs w:val="24"/>
      <w:lang w:val="en-US" w:eastAsia="zh-CN"/>
    </w:rPr>
  </w:style>
  <w:style w:type="character" w:customStyle="1" w:styleId="453">
    <w:name w:val="HTML 地址 字符"/>
    <w:qFormat/>
    <w:uiPriority w:val="0"/>
    <w:rPr>
      <w:rFonts w:ascii="Tahoma" w:hAnsi="Tahoma" w:eastAsia="仿宋_GB2312"/>
      <w:i/>
      <w:iCs/>
      <w:kern w:val="2"/>
      <w:sz w:val="32"/>
      <w:szCs w:val="20"/>
      <w:lang w:val="en-US" w:eastAsia="zh-CN"/>
    </w:rPr>
  </w:style>
  <w:style w:type="character" w:customStyle="1" w:styleId="454">
    <w:name w:val="文本块 字符"/>
    <w:qFormat/>
    <w:uiPriority w:val="0"/>
    <w:rPr>
      <w:i/>
      <w:iCs/>
      <w:color w:val="000000"/>
      <w:kern w:val="2"/>
      <w:sz w:val="21"/>
      <w:szCs w:val="22"/>
      <w:lang w:bidi="ar-SA"/>
    </w:rPr>
  </w:style>
  <w:style w:type="character" w:customStyle="1" w:styleId="455">
    <w:name w:val="标题 5 字符"/>
    <w:qFormat/>
    <w:uiPriority w:val="0"/>
    <w:rPr>
      <w:rFonts w:ascii="Calibri" w:hAnsi="Calibri"/>
      <w:b/>
      <w:bCs/>
      <w:kern w:val="2"/>
      <w:sz w:val="28"/>
      <w:szCs w:val="28"/>
    </w:rPr>
  </w:style>
  <w:style w:type="character" w:customStyle="1" w:styleId="456">
    <w:name w:val="签名 字符"/>
    <w:qFormat/>
    <w:uiPriority w:val="0"/>
    <w:rPr>
      <w:rFonts w:ascii="Tahoma" w:hAnsi="Tahoma" w:eastAsia="仿宋_GB2312"/>
      <w:kern w:val="2"/>
      <w:sz w:val="32"/>
      <w:szCs w:val="20"/>
      <w:lang w:val="en-US" w:eastAsia="zh-CN"/>
    </w:rPr>
  </w:style>
  <w:style w:type="character" w:customStyle="1" w:styleId="457">
    <w:name w:val="页眉 字符"/>
    <w:qFormat/>
    <w:uiPriority w:val="0"/>
    <w:rPr>
      <w:kern w:val="2"/>
      <w:sz w:val="18"/>
      <w:szCs w:val="18"/>
    </w:rPr>
  </w:style>
  <w:style w:type="character" w:customStyle="1" w:styleId="458">
    <w:name w:val="日期 字符"/>
    <w:qFormat/>
    <w:uiPriority w:val="0"/>
    <w:rPr>
      <w:kern w:val="2"/>
      <w:sz w:val="24"/>
    </w:rPr>
  </w:style>
  <w:style w:type="character" w:customStyle="1" w:styleId="459">
    <w:name w:val="正文文本 3 字符"/>
    <w:qFormat/>
    <w:uiPriority w:val="0"/>
    <w:rPr>
      <w:rFonts w:ascii="宋体" w:hAnsi="Tahoma"/>
      <w:kern w:val="2"/>
      <w:sz w:val="24"/>
      <w:szCs w:val="20"/>
    </w:rPr>
  </w:style>
  <w:style w:type="character" w:customStyle="1" w:styleId="460">
    <w:name w:val="标题 3 字符"/>
    <w:qFormat/>
    <w:uiPriority w:val="0"/>
    <w:rPr>
      <w:b/>
      <w:bCs/>
      <w:kern w:val="2"/>
      <w:sz w:val="32"/>
      <w:szCs w:val="32"/>
    </w:rPr>
  </w:style>
  <w:style w:type="character" w:customStyle="1" w:styleId="461">
    <w:name w:val="标题 4 字符"/>
    <w:qFormat/>
    <w:uiPriority w:val="0"/>
    <w:rPr>
      <w:rFonts w:ascii="Arial" w:hAnsi="Arial" w:eastAsia="黑体"/>
      <w:b/>
      <w:bCs/>
      <w:kern w:val="2"/>
      <w:sz w:val="28"/>
      <w:szCs w:val="28"/>
    </w:rPr>
  </w:style>
  <w:style w:type="character" w:customStyle="1" w:styleId="462">
    <w:name w:val="信息标题 字符"/>
    <w:qFormat/>
    <w:uiPriority w:val="0"/>
    <w:rPr>
      <w:rFonts w:ascii="Arial" w:hAnsi="Arial" w:eastAsia="仿宋_GB2312"/>
      <w:kern w:val="2"/>
      <w:sz w:val="24"/>
      <w:szCs w:val="24"/>
      <w:shd w:val="pct20" w:color="auto" w:fill="auto"/>
      <w:lang w:val="en-US" w:eastAsia="zh-CN"/>
    </w:rPr>
  </w:style>
  <w:style w:type="character" w:customStyle="1" w:styleId="463">
    <w:name w:val="标题 6 字符"/>
    <w:qFormat/>
    <w:uiPriority w:val="0"/>
    <w:rPr>
      <w:rFonts w:ascii="Arial" w:hAnsi="Arial" w:eastAsia="黑体"/>
      <w:b/>
      <w:bCs/>
      <w:sz w:val="24"/>
      <w:szCs w:val="24"/>
    </w:rPr>
  </w:style>
  <w:style w:type="character" w:customStyle="1" w:styleId="464">
    <w:name w:val="正文首行缩进 字符"/>
    <w:basedOn w:val="107"/>
    <w:qFormat/>
    <w:uiPriority w:val="0"/>
    <w:rPr>
      <w:rFonts w:ascii="Tahoma" w:hAnsi="Tahoma"/>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29.jpeg"/><Relationship Id="rId57" Type="http://schemas.openxmlformats.org/officeDocument/2006/relationships/image" Target="media/image28.png"/><Relationship Id="rId56" Type="http://schemas.openxmlformats.org/officeDocument/2006/relationships/image" Target="media/image27.jpe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pn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header" Target="header2.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header" Target="header1.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yfish\Desktop\&#20013;&#21326;&#20154;&#27665;&#20849;&#21644;&#22269;&#26631;&#20934;&#26045;&#24037;&#25307;&#26631;&#25991;&#20214;&#33539;&#26412;200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072"/>
    <customShpInfo spid="_x0000_s2100"/>
    <customShpInfo spid="_x0000_s2101"/>
    <customShpInfo spid="_x0000_s2102"/>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29A532-B77B-41D7-BCAE-A87F630988F0}">
  <ds:schemaRefs/>
</ds:datastoreItem>
</file>

<file path=docProps/app.xml><?xml version="1.0" encoding="utf-8"?>
<Properties xmlns="http://schemas.openxmlformats.org/officeDocument/2006/extended-properties" xmlns:vt="http://schemas.openxmlformats.org/officeDocument/2006/docPropsVTypes">
  <Template>中华人民共和国标准施工招标文件范本2007</Template>
  <Pages>109</Pages>
  <Words>12287</Words>
  <Characters>70041</Characters>
  <Lines>583</Lines>
  <Paragraphs>164</Paragraphs>
  <TotalTime>10</TotalTime>
  <ScaleCrop>false</ScaleCrop>
  <LinksUpToDate>false</LinksUpToDate>
  <CharactersWithSpaces>82164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2018-02-10T03:50:00Z</dcterms:created>
  <dc:creator>nice</dc:creator>
  <cp:lastModifiedBy>akmai</cp:lastModifiedBy>
  <cp:lastPrinted>2018-09-13T06:58:00Z</cp:lastPrinted>
  <dcterms:modified xsi:type="dcterms:W3CDTF">2018-11-01T08:59:03Z</dcterms:modified>
  <dc:title>中华人民共和国</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