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hint="eastAsia" w:ascii="仿宋_GB2312"/>
          <w:spacing w:val="-4"/>
          <w:szCs w:val="32"/>
        </w:rPr>
      </w:pPr>
      <w:r>
        <w:rPr>
          <w:rFonts w:hint="eastAsia" w:ascii="黑体" w:hAnsi="黑体" w:eastAsia="黑体" w:cs="黑体"/>
          <w:spacing w:val="-4"/>
          <w:szCs w:val="32"/>
        </w:rPr>
        <w:t>附件1</w:t>
      </w:r>
      <w:r>
        <w:rPr>
          <w:rFonts w:hint="eastAsia" w:ascii="仿宋_GB2312"/>
          <w:spacing w:val="-4"/>
          <w:szCs w:val="32"/>
        </w:rPr>
        <w:t xml:space="preserve"> </w:t>
      </w:r>
    </w:p>
    <w:p>
      <w:pPr>
        <w:adjustRightInd w:val="0"/>
        <w:snapToGrid w:val="0"/>
        <w:spacing w:line="336" w:lineRule="auto"/>
        <w:ind w:firstLine="867" w:firstLineChars="200"/>
        <w:jc w:val="center"/>
        <w:rPr>
          <w:rFonts w:hint="eastAsia" w:ascii="仿宋_GB2312"/>
          <w:b/>
          <w:spacing w:val="-4"/>
          <w:sz w:val="44"/>
          <w:szCs w:val="32"/>
        </w:rPr>
      </w:pPr>
      <w:r>
        <w:rPr>
          <w:rFonts w:hint="eastAsia" w:ascii="仿宋_GB2312"/>
          <w:b/>
          <w:spacing w:val="-4"/>
          <w:sz w:val="44"/>
          <w:szCs w:val="32"/>
        </w:rPr>
        <w:t>本次检验项目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一、 餐饮食品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糕点(餐饮单位自制)抽检项目包括</w:t>
      </w:r>
      <w:r>
        <w:rPr>
          <w:rFonts w:ascii="仿宋_GB2312"/>
          <w:spacing w:val="-4"/>
          <w:szCs w:val="32"/>
        </w:rPr>
        <w:t>酸价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过氧化值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总砷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黄曲霉毒素B1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大肠菌群（现制现售不做）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菌落总数（现制现售不做）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霉菌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沙门氏菌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金黄色葡萄球菌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铝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餐馆用餐饮具(含陶瓷、玻璃、密胺餐饮具) 抽检项目包括</w:t>
      </w:r>
      <w:r>
        <w:rPr>
          <w:rFonts w:ascii="仿宋_GB2312"/>
          <w:spacing w:val="-4"/>
          <w:szCs w:val="32"/>
        </w:rPr>
        <w:t>大肠菌群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沙门氏菌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烷基（苯）磺酸钠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余氯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3.非发酵性豆制品(餐饮) 抽检项目包括苯甲酸、山梨酸、甲醛次硫酸氢钠、沙门氏菌、志贺氏菌、金黄色葡萄球菌、柠檬黄、日落黄、硼砂、二氧化硫残留量。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二、 粮食加工品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1.大米抽检项目包括苯并(a)芘、标签审核、丁草胺、氟酰胺、镉、铬、黄曲霉毒素B1、甲基嘧啶磷、马拉硫磷(AD)、铅 、无机砷、赭曲霉毒素A、总汞(Hg)。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2.米粉抽检项目包括标签审核、二氧化钛、过氧化苯甲酰、滑石粉、甲醛次硫酸氢钠、铝、铅 、山梨酸、脱氢乙酸、溴酸钾。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3.普通挂面、手工面抽检项目包括标签审核、二氧化钛、过氧化苯甲酰、滑石粉、甲醛次硫酸氢钠、铝、铅 、山梨酸、脱氢乙酸、溴酸钾。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三、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其他食品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1.食盐抽检项目包括钡 、钙、硫酸根含量、氯化钠、氯离子、镁、亚铁氰化钾(以Fe(CN)4-计)。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四、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乳制品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1.灭菌乳抽检项目包括玉米赤霉醇、黄曲霉毒素M1、铅 、三聚氰胺、山梨酸、商业无菌、总砷(As)。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2.调制乳抽检项目包括玉米赤霉醇、β-胡萝卜素、黄曲霉毒素M1、三聚氰胺、三氯蔗糖、山梨酸、商业无菌、维生素E。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五、食用农产品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1.畜禽肉抽检项目包括阿莫西林（羟氨苄青霉素）、二氧化硫 、呋喃它酮代谢物 AMOZ、呋喃妥因代谢物 AHD、呋喃西林代谢物 SEM、呋喃唑酮代谢物 AOZ、金霉素、克伦特罗、莱克多巴胺、氯霉素、沙丁胺醇、四环素、土霉素。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2.蔬菜抽检项目包括</w:t>
      </w:r>
      <w:r>
        <w:rPr>
          <w:rFonts w:ascii="仿宋_GB2312"/>
          <w:spacing w:val="-4"/>
          <w:szCs w:val="32"/>
        </w:rPr>
        <w:t>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汞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氯氰菊酯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多菌灵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甲胺磷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乐果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乙酰甲胺磷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甲基对硫磷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百菌清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倍硫磷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杀螟硫磷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甲氰菊酯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林丹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六六六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DDT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3.水果抽检项目包括</w:t>
      </w:r>
      <w:r>
        <w:rPr>
          <w:rFonts w:ascii="仿宋_GB2312"/>
          <w:spacing w:val="-4"/>
          <w:szCs w:val="32"/>
        </w:rPr>
        <w:t>百菌清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多菌灵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腐霉利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甲胺磷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甲拌磷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对硫磷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甲基对硫磷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乙酰甲胺磷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六六六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DDT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除虫脲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乐果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4.鱼肉（鱼丸、鱼胶）抽检项目包括</w:t>
      </w:r>
      <w:r>
        <w:rPr>
          <w:rFonts w:ascii="仿宋_GB2312"/>
          <w:spacing w:val="-4"/>
          <w:szCs w:val="32"/>
        </w:rPr>
        <w:t>孔雀石绿(含显性、隐性）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硼砂（硼酸）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挥发性盐基氮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组胺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无机砷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甲基汞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多氯联苯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六、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食用油、油脂及其制品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1.食用油抽检项目包括</w:t>
      </w:r>
      <w:r>
        <w:rPr>
          <w:rFonts w:ascii="仿宋_GB2312"/>
          <w:spacing w:val="-4"/>
          <w:szCs w:val="32"/>
        </w:rPr>
        <w:t>酸价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过氧化值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黄曲霉毒素B1 （调和油不检测）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苯并（a）芘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油酸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七、</w:t>
      </w:r>
      <w:r>
        <w:rPr>
          <w:rFonts w:hint="eastAsia"/>
        </w:rPr>
        <w:t xml:space="preserve"> </w:t>
      </w:r>
      <w:r>
        <w:rPr>
          <w:rFonts w:hint="eastAsia" w:ascii="仿宋_GB2312"/>
          <w:spacing w:val="-4"/>
          <w:szCs w:val="32"/>
        </w:rPr>
        <w:t>速冻食品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1.速冻调理肉制品抽检项目包括富马酸二甲酯、克伦特罗、莱克多巴胺、纳他霉素、硼酸。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八、调味品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1.酱油抽检项目包括3-氯-1，2-丙二醇、黄曲霉毒素B1、罗丹明B。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2.酱料（含自制调味品）抽检项目包括</w:t>
      </w:r>
      <w:r>
        <w:rPr>
          <w:rFonts w:ascii="仿宋_GB2312"/>
          <w:spacing w:val="-4"/>
          <w:szCs w:val="32"/>
        </w:rPr>
        <w:t>罗丹明B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苏丹红</w:t>
      </w:r>
      <w:r>
        <w:rPr>
          <w:rFonts w:hint="eastAsia" w:ascii="宋体" w:hAnsi="宋体" w:eastAsia="宋体" w:cs="宋体"/>
          <w:spacing w:val="-4"/>
          <w:szCs w:val="32"/>
        </w:rPr>
        <w:t>Ⅰ</w:t>
      </w:r>
      <w:r>
        <w:rPr>
          <w:rFonts w:ascii="仿宋_GB2312"/>
          <w:spacing w:val="-4"/>
          <w:szCs w:val="32"/>
        </w:rPr>
        <w:t>-</w:t>
      </w:r>
      <w:r>
        <w:rPr>
          <w:rFonts w:hint="eastAsia" w:ascii="宋体" w:hAnsi="宋体" w:eastAsia="宋体" w:cs="宋体"/>
          <w:spacing w:val="-4"/>
          <w:szCs w:val="32"/>
        </w:rPr>
        <w:t>Ⅳ、</w:t>
      </w:r>
      <w:r>
        <w:rPr>
          <w:rFonts w:ascii="仿宋_GB2312"/>
          <w:spacing w:val="-4"/>
          <w:szCs w:val="32"/>
        </w:rPr>
        <w:t>金黄色葡萄球菌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沙门氏菌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志贺氏菌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苯甲酸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山梨酸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着色剂（如柠檬黄、日落黄、诱惑红、胭脂红、苋菜红等）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糖精钠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甜蜜素</w:t>
      </w:r>
      <w:r>
        <w:rPr>
          <w:rFonts w:hint="eastAsia" w:ascii="仿宋_GB2312"/>
          <w:spacing w:val="-4"/>
          <w:szCs w:val="32"/>
        </w:rPr>
        <w:t>。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九、饮料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（一）抽检依据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336" w:lineRule="auto"/>
        <w:ind w:firstLine="624" w:firstLineChars="200"/>
        <w:rPr>
          <w:rFonts w:hint="eastAsia"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（二）检验项目</w:t>
      </w:r>
    </w:p>
    <w:p>
      <w:pPr>
        <w:adjustRightInd w:val="0"/>
        <w:snapToGrid w:val="0"/>
        <w:spacing w:line="336" w:lineRule="auto"/>
        <w:ind w:firstLine="624" w:firstLineChars="200"/>
        <w:rPr>
          <w:rFonts w:ascii="仿宋_GB2312"/>
          <w:spacing w:val="-4"/>
          <w:szCs w:val="32"/>
        </w:rPr>
        <w:sectPr>
          <w:footerReference r:id="rId3" w:type="default"/>
          <w:pgSz w:w="11906" w:h="16838"/>
          <w:pgMar w:top="2098" w:right="1531" w:bottom="1985" w:left="1531" w:header="851" w:footer="1588" w:gutter="0"/>
          <w:cols w:space="720" w:num="1"/>
          <w:docGrid w:linePitch="579" w:charSpace="-842"/>
        </w:sectPr>
      </w:pPr>
      <w:r>
        <w:rPr>
          <w:rFonts w:hint="eastAsia" w:ascii="仿宋_GB2312"/>
          <w:spacing w:val="-4"/>
          <w:szCs w:val="32"/>
        </w:rPr>
        <w:t>1.蛋白饮料抽检项目包括</w:t>
      </w:r>
      <w:r>
        <w:rPr>
          <w:rFonts w:ascii="仿宋_GB2312"/>
          <w:spacing w:val="-4"/>
          <w:szCs w:val="32"/>
        </w:rPr>
        <w:t>蛋白质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铅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苯甲酸及其钠盐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山梨酸及其钾盐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脱氢乙酸及其钠盐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糖精钠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甜蜜素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安赛蜜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阿斯巴甜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菌落总数（活菌型不做）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大肠菌群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霉菌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酵母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沙门氏菌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金黄色葡萄球菌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三聚氰胺</w:t>
      </w:r>
      <w:r>
        <w:rPr>
          <w:rFonts w:hint="eastAsia" w:ascii="仿宋_GB2312"/>
          <w:spacing w:val="-4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page" w:xAlign="outside" w:y="-67"/>
      <w:jc w:val="center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43F5"/>
    <w:rsid w:val="4C8306BA"/>
    <w:rsid w:val="69CF43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2018-07-06T07:54:00Z</dcterms:created>
  <dc:creator>wa</dc:creator>
  <cp:lastModifiedBy>wa</cp:lastModifiedBy>
  <cp:lastPrinted>2018-12-19T04:43:21Z</cp:lastPrinted>
  <dcterms:modified xsi:type="dcterms:W3CDTF">2018-12-19T07:04:51Z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