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horzAnchor="margin" w:tblpXSpec="center" w:tblpYSpec="top"/>
        <w:tblW w:w="0" w:type="auto"/>
        <w:jc w:val="center"/>
        <w:tblLayout w:type="fixed"/>
        <w:tblCellMar>
          <w:top w:w="0" w:type="dxa"/>
          <w:left w:w="0" w:type="dxa"/>
          <w:bottom w:w="0" w:type="dxa"/>
          <w:right w:w="0" w:type="dxa"/>
        </w:tblCellMar>
      </w:tblPr>
      <w:tblGrid>
        <w:gridCol w:w="5574"/>
        <w:gridCol w:w="3257"/>
      </w:tblGrid>
      <w:tr>
        <w:trPr>
          <w:trHeight w:val="1066" w:hRule="exact"/>
          <w:jc w:val="center"/>
        </w:trPr>
        <w:tc>
          <w:tcPr>
            <w:tcW w:w="8831" w:type="dxa"/>
            <w:gridSpan w:val="2"/>
            <w:noWrap w:val="0"/>
            <w:vAlign w:val="center"/>
          </w:tcPr>
          <w:p>
            <w:pPr>
              <w:snapToGrid w:val="0"/>
              <w:jc w:val="center"/>
              <w:rPr>
                <w:rFonts w:eastAsia="方正小标宋简体"/>
                <w:color w:val="FF0000"/>
                <w:spacing w:val="200"/>
                <w:kern w:val="0"/>
                <w:sz w:val="84"/>
                <w:szCs w:val="84"/>
              </w:rPr>
            </w:pPr>
            <w:bookmarkStart w:id="0" w:name="_GoBack"/>
            <w:bookmarkEnd w:id="0"/>
            <w:r>
              <w:rPr>
                <w:rFonts w:eastAsia="方正小标宋简体"/>
                <w:color w:val="FF0000"/>
                <w:sz w:val="84"/>
                <w:szCs w:val="84"/>
              </w:rPr>
              <w:t>粮 食 信 息 简 报</w:t>
            </w:r>
          </w:p>
        </w:tc>
      </w:tr>
      <w:tr>
        <w:tblPrEx>
          <w:tblCellMar>
            <w:top w:w="0" w:type="dxa"/>
            <w:left w:w="0" w:type="dxa"/>
            <w:bottom w:w="0" w:type="dxa"/>
            <w:right w:w="0" w:type="dxa"/>
          </w:tblCellMar>
        </w:tblPrEx>
        <w:trPr>
          <w:trHeight w:val="522" w:hRule="atLeast"/>
          <w:jc w:val="center"/>
        </w:trPr>
        <w:tc>
          <w:tcPr>
            <w:tcW w:w="8831" w:type="dxa"/>
            <w:gridSpan w:val="2"/>
            <w:noWrap w:val="0"/>
            <w:vAlign w:val="center"/>
          </w:tcPr>
          <w:p>
            <w:pPr>
              <w:jc w:val="both"/>
              <w:rPr>
                <w:rFonts w:eastAsia="楷体_GB2312"/>
                <w:kern w:val="0"/>
                <w:sz w:val="32"/>
                <w:szCs w:val="32"/>
              </w:rPr>
            </w:pPr>
          </w:p>
          <w:p>
            <w:pPr>
              <w:jc w:val="center"/>
              <w:rPr>
                <w:rFonts w:eastAsia="楷体_GB2312"/>
                <w:kern w:val="0"/>
                <w:sz w:val="32"/>
                <w:szCs w:val="32"/>
              </w:rPr>
            </w:pPr>
            <w:r>
              <w:rPr>
                <w:rFonts w:eastAsia="楷体_GB2312"/>
                <w:kern w:val="0"/>
                <w:sz w:val="32"/>
                <w:szCs w:val="32"/>
              </w:rPr>
              <w:t>20</w:t>
            </w:r>
            <w:r>
              <w:rPr>
                <w:rFonts w:hint="eastAsia" w:eastAsia="楷体_GB2312"/>
                <w:kern w:val="0"/>
                <w:sz w:val="32"/>
                <w:szCs w:val="32"/>
              </w:rPr>
              <w:t>2</w:t>
            </w:r>
            <w:r>
              <w:rPr>
                <w:rFonts w:hint="eastAsia" w:eastAsia="楷体_GB2312"/>
                <w:kern w:val="0"/>
                <w:sz w:val="32"/>
                <w:szCs w:val="32"/>
                <w:lang w:val="en-US" w:eastAsia="zh-CN"/>
              </w:rPr>
              <w:t>3</w:t>
            </w:r>
            <w:r>
              <w:rPr>
                <w:rFonts w:eastAsia="楷体_GB2312"/>
                <w:kern w:val="0"/>
                <w:sz w:val="32"/>
                <w:szCs w:val="32"/>
              </w:rPr>
              <w:t>年第</w:t>
            </w:r>
            <w:r>
              <w:rPr>
                <w:rFonts w:hint="eastAsia" w:eastAsia="楷体_GB2312"/>
                <w:kern w:val="0"/>
                <w:sz w:val="32"/>
                <w:szCs w:val="32"/>
                <w:lang w:val="en-US" w:eastAsia="zh-CN"/>
              </w:rPr>
              <w:t>7</w:t>
            </w:r>
            <w:r>
              <w:rPr>
                <w:rFonts w:eastAsia="楷体_GB2312"/>
                <w:kern w:val="0"/>
                <w:sz w:val="32"/>
                <w:szCs w:val="32"/>
              </w:rPr>
              <w:t>期（总第</w:t>
            </w:r>
            <w:r>
              <w:rPr>
                <w:rFonts w:hint="eastAsia" w:eastAsia="楷体_GB2312"/>
                <w:kern w:val="0"/>
                <w:sz w:val="32"/>
                <w:szCs w:val="32"/>
                <w:lang w:val="en-US" w:eastAsia="zh-CN"/>
              </w:rPr>
              <w:t>17</w:t>
            </w:r>
            <w:r>
              <w:rPr>
                <w:rFonts w:eastAsia="楷体_GB2312"/>
                <w:kern w:val="0"/>
                <w:sz w:val="32"/>
                <w:szCs w:val="32"/>
              </w:rPr>
              <w:t>期）</w:t>
            </w:r>
          </w:p>
        </w:tc>
      </w:tr>
      <w:tr>
        <w:tblPrEx>
          <w:tblCellMar>
            <w:top w:w="0" w:type="dxa"/>
            <w:left w:w="0" w:type="dxa"/>
            <w:bottom w:w="0" w:type="dxa"/>
            <w:right w:w="0" w:type="dxa"/>
          </w:tblCellMar>
        </w:tblPrEx>
        <w:trPr>
          <w:trHeight w:val="237" w:hRule="atLeast"/>
          <w:jc w:val="center"/>
        </w:trPr>
        <w:tc>
          <w:tcPr>
            <w:tcW w:w="8831" w:type="dxa"/>
            <w:gridSpan w:val="2"/>
            <w:noWrap w:val="0"/>
            <w:vAlign w:val="center"/>
          </w:tcPr>
          <w:p>
            <w:pPr>
              <w:jc w:val="both"/>
              <w:rPr>
                <w:rFonts w:eastAsia="楷体_GB2312"/>
                <w:kern w:val="0"/>
                <w:sz w:val="32"/>
                <w:szCs w:val="32"/>
              </w:rPr>
            </w:pPr>
          </w:p>
        </w:tc>
      </w:tr>
      <w:tr>
        <w:tblPrEx>
          <w:tblCellMar>
            <w:top w:w="0" w:type="dxa"/>
            <w:left w:w="0" w:type="dxa"/>
            <w:bottom w:w="0" w:type="dxa"/>
            <w:right w:w="0" w:type="dxa"/>
          </w:tblCellMar>
        </w:tblPrEx>
        <w:trPr>
          <w:trHeight w:val="258" w:hRule="atLeast"/>
          <w:jc w:val="center"/>
        </w:trPr>
        <w:tc>
          <w:tcPr>
            <w:tcW w:w="5574" w:type="dxa"/>
            <w:tcBorders>
              <w:bottom w:val="single" w:color="FF0000" w:sz="12" w:space="0"/>
            </w:tcBorders>
            <w:noWrap w:val="0"/>
            <w:vAlign w:val="center"/>
          </w:tcPr>
          <w:p>
            <w:pPr>
              <w:ind w:firstLine="320"/>
              <w:jc w:val="left"/>
              <w:rPr>
                <w:rFonts w:eastAsia="楷体_GB2312"/>
                <w:kern w:val="0"/>
                <w:sz w:val="32"/>
                <w:szCs w:val="32"/>
              </w:rPr>
            </w:pPr>
            <w:r>
              <w:rPr>
                <w:rFonts w:hint="eastAsia" w:eastAsia="楷体_GB2312"/>
                <w:kern w:val="0"/>
                <w:sz w:val="32"/>
                <w:szCs w:val="32"/>
                <w:lang w:eastAsia="zh-CN"/>
              </w:rPr>
              <w:t>南海</w:t>
            </w:r>
            <w:r>
              <w:rPr>
                <w:rFonts w:hint="eastAsia" w:eastAsia="楷体_GB2312"/>
                <w:kern w:val="0"/>
                <w:sz w:val="32"/>
                <w:szCs w:val="32"/>
              </w:rPr>
              <w:t>区粮食和物资储备局</w:t>
            </w:r>
            <w:r>
              <w:rPr>
                <w:rFonts w:eastAsia="楷体_GB2312"/>
                <w:kern w:val="0"/>
                <w:sz w:val="32"/>
                <w:szCs w:val="32"/>
              </w:rPr>
              <w:t>编</w:t>
            </w:r>
          </w:p>
        </w:tc>
        <w:tc>
          <w:tcPr>
            <w:tcW w:w="3257" w:type="dxa"/>
            <w:tcBorders>
              <w:bottom w:val="single" w:color="FF0000" w:sz="12" w:space="0"/>
            </w:tcBorders>
            <w:noWrap w:val="0"/>
            <w:vAlign w:val="center"/>
          </w:tcPr>
          <w:p>
            <w:pPr>
              <w:ind w:right="225" w:rightChars="107"/>
              <w:jc w:val="right"/>
              <w:rPr>
                <w:rFonts w:eastAsia="楷体_GB2312"/>
                <w:kern w:val="0"/>
                <w:sz w:val="32"/>
                <w:szCs w:val="32"/>
              </w:rPr>
            </w:pPr>
            <w:r>
              <w:rPr>
                <w:rFonts w:eastAsia="楷体_GB2312"/>
                <w:kern w:val="0"/>
                <w:sz w:val="32"/>
                <w:szCs w:val="32"/>
              </w:rPr>
              <w:t>20</w:t>
            </w:r>
            <w:r>
              <w:rPr>
                <w:rFonts w:hint="eastAsia" w:eastAsia="楷体_GB2312"/>
                <w:kern w:val="0"/>
                <w:sz w:val="32"/>
                <w:szCs w:val="32"/>
              </w:rPr>
              <w:t>2</w:t>
            </w:r>
            <w:r>
              <w:rPr>
                <w:rFonts w:hint="eastAsia" w:eastAsia="楷体_GB2312"/>
                <w:kern w:val="0"/>
                <w:sz w:val="32"/>
                <w:szCs w:val="32"/>
                <w:lang w:val="en-US" w:eastAsia="zh-CN"/>
              </w:rPr>
              <w:t>3</w:t>
            </w:r>
            <w:r>
              <w:rPr>
                <w:rFonts w:eastAsia="楷体_GB2312"/>
                <w:kern w:val="0"/>
                <w:sz w:val="32"/>
                <w:szCs w:val="32"/>
              </w:rPr>
              <w:t>年</w:t>
            </w:r>
            <w:r>
              <w:rPr>
                <w:rFonts w:hint="eastAsia" w:eastAsia="楷体_GB2312"/>
                <w:kern w:val="0"/>
                <w:sz w:val="32"/>
                <w:szCs w:val="32"/>
                <w:lang w:val="en-US" w:eastAsia="zh-CN"/>
              </w:rPr>
              <w:t>5</w:t>
            </w:r>
            <w:r>
              <w:rPr>
                <w:rFonts w:eastAsia="楷体_GB2312"/>
                <w:kern w:val="0"/>
                <w:sz w:val="32"/>
                <w:szCs w:val="32"/>
              </w:rPr>
              <w:t>月</w:t>
            </w:r>
            <w:r>
              <w:rPr>
                <w:rFonts w:hint="eastAsia" w:eastAsia="楷体_GB2312"/>
                <w:kern w:val="0"/>
                <w:sz w:val="32"/>
                <w:szCs w:val="32"/>
                <w:lang w:val="en-US" w:eastAsia="zh-CN"/>
              </w:rPr>
              <w:t>11</w:t>
            </w:r>
            <w:r>
              <w:rPr>
                <w:rFonts w:eastAsia="楷体_GB2312"/>
                <w:kern w:val="0"/>
                <w:sz w:val="32"/>
                <w:szCs w:val="32"/>
              </w:rPr>
              <w:t>日</w:t>
            </w:r>
          </w:p>
        </w:tc>
      </w:tr>
      <w:tr>
        <w:tblPrEx>
          <w:tblCellMar>
            <w:top w:w="0" w:type="dxa"/>
            <w:left w:w="0" w:type="dxa"/>
            <w:bottom w:w="0" w:type="dxa"/>
            <w:right w:w="0" w:type="dxa"/>
          </w:tblCellMar>
        </w:tblPrEx>
        <w:trPr>
          <w:trHeight w:val="346" w:hRule="atLeast"/>
          <w:jc w:val="center"/>
        </w:trPr>
        <w:tc>
          <w:tcPr>
            <w:tcW w:w="8831" w:type="dxa"/>
            <w:gridSpan w:val="2"/>
            <w:tcBorders>
              <w:top w:val="single" w:color="FF0000" w:sz="12" w:space="0"/>
            </w:tcBorders>
            <w:noWrap w:val="0"/>
            <w:vAlign w:val="center"/>
          </w:tcPr>
          <w:p>
            <w:pPr>
              <w:spacing w:line="133" w:lineRule="atLeast"/>
              <w:jc w:val="center"/>
              <w:rPr>
                <w:color w:val="FF0000"/>
                <w:kern w:val="0"/>
                <w:sz w:val="32"/>
                <w:szCs w:val="32"/>
              </w:rPr>
            </w:pPr>
          </w:p>
        </w:tc>
      </w:tr>
    </w:tbl>
    <w:p>
      <w:pPr>
        <w:widowControl w:val="0"/>
        <w:rPr>
          <w:rFonts w:eastAsia="黑体"/>
          <w:szCs w:val="21"/>
        </w:rPr>
      </w:pPr>
    </w:p>
    <w:p>
      <w:pPr>
        <w:widowControl w:val="0"/>
        <w:rPr>
          <w:rFonts w:hint="eastAsia" w:eastAsia="黑体"/>
          <w:szCs w:val="21"/>
        </w:rPr>
      </w:pPr>
    </w:p>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方正小标宋简体" w:hAnsi="方正小标宋简体" w:eastAsia="方正小标宋简体" w:cs="仿宋_GB2312"/>
          <w:sz w:val="48"/>
          <w:szCs w:val="48"/>
          <w:lang w:val="en-US" w:eastAsia="zh-CN"/>
        </w:rPr>
      </w:pPr>
      <w:r>
        <w:rPr>
          <w:rFonts w:hint="eastAsia" w:ascii="方正小标宋简体" w:hAnsi="方正小标宋简体" w:eastAsia="方正小标宋简体" w:cs="仿宋_GB2312"/>
          <w:sz w:val="48"/>
          <w:szCs w:val="48"/>
          <w:lang w:val="en-US" w:eastAsia="zh-CN"/>
        </w:rPr>
        <w:t>南海区举行粮食行业高质量发展大会</w:t>
      </w:r>
    </w:p>
    <w:p>
      <w:pPr>
        <w:keepNext w:val="0"/>
        <w:keepLines w:val="0"/>
        <w:pageBreakBefore w:val="0"/>
        <w:widowControl/>
        <w:kinsoku/>
        <w:wordWrap/>
        <w:overflowPunct/>
        <w:topLinePunct w:val="0"/>
        <w:autoSpaceDE/>
        <w:autoSpaceDN/>
        <w:bidi w:val="0"/>
        <w:adjustRightInd/>
        <w:snapToGrid/>
        <w:spacing w:line="520" w:lineRule="exact"/>
        <w:textAlignment w:val="center"/>
        <w:rPr>
          <w:rFonts w:hint="eastAsia" w:ascii="方正小标宋简体" w:hAnsi="方正小标宋简体" w:eastAsia="方正小标宋简体" w:cs="仿宋_GB2312"/>
          <w:sz w:val="48"/>
          <w:szCs w:val="48"/>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为贯彻落实中央、省、市对粮食工作的部署，继续推动南海粮食行业高质量发展，4月26日上午，南海区举行“幸福南海 优粮同行”粮食行业高质量发展大会，正式发布南海区“优质粮食工程”及“南海好粮油”工作方案，并举行南海区粮食行业协会揭牌仪式，签约一批粮食产业项目，助力打造“南海好粮油”金字招牌。</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站在新的历史起点，党的二十大报告中提出要“全方位夯实粮食安全根基”，这既是对保障国家粮食安全的更高要求，也是对牢牢把握粮食安全主动权的战略部署。南海区高度重视粮食行业的高质量发展，近期发布了《佛山市南海区实施“优质粮食 工程”暨开展“南海好粮油”工作方案》，对优质大米种植、品牌企业生产等方面提出了具体的要求和支持。</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海是省内重要的粮食主销区。其中，大沥镇三眼桥粮食商圈是华南地区规模最大的粮油产业集群，也是国内最大进口粮食贸易商圈之一。商圈内共有加工、国际贸易等各类型粮食企业近300家，专业粮油市场150亩，仓储园区超3万平方米，大米年装卸量150万吨，成品粮年交易额超100亿元，涵盖了粮油加工、经销、流通等全产业链环节。实施“优质粮食工程”，是南海推动传统产业转型升级的一次有力探索。南海将坚持“抓改革、促转型”，以提质增效粮油产品、重点培育优质企业、谋篇布局产业园区三大举措并行，将南海粮食行业从传统贸易型转化为注重品牌建设的深精加工型产业格局。</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打造“南海好粮油”品牌是实施“优质粮食工程”核心路径。具体而言，“南海好粮油”将重点孵化一批示范企业，在南海区内推出“优质、营养、健康”的系列粮油产品。通过推动形成广大粮油企业争创示范企业的氛围，利用团体标准推动产业升级，强化抱团发展，政企合力将“南海好粮油”打造成一张金字招牌。</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海区粮食行业协会将以促进行业交流、推动行业协调发展、维护会员合法权益，并构建公平、公正和公开的共赢市场竞争环境为主要宗旨，充分发挥协会作为政府与企业的桥梁纽带、服务、自律、协调和监督的作用，努力为会员企业、粮食生产者、经营者和消费者服务，同时打造具有南海特色的现代粮食行业的服务交流平台。</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会上，一批粮食项目举行了签约仪式。今年3月，易优粮国际农产品供应链产业园项目落地三眼桥，该项目总投资10亿元，占地146亩，涵盖国际粮食大宗贸易、国内粮油副食品采购、智慧仓储、供应链金融、数字化电商直播、物流运输等一站式配套 服务，旨在打造为大湾区首个集国际农产品服务与贸易为一体的产业孵化园区。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本次大会是对南海区粮食行业吹响的集结号。南海将号召更多粮食企业积极投身到“优质粮食工程”，把整个行业的积极性、创造性进一步调动起来，共同打造“南海好粮油”金字招牌。</w:t>
      </w:r>
    </w:p>
    <w:p>
      <w:pPr>
        <w:keepNext w:val="0"/>
        <w:keepLines w:val="0"/>
        <w:pageBreakBefore w:val="0"/>
        <w:widowControl/>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cs="仿宋"/>
          <w:sz w:val="32"/>
          <w:szCs w:val="32"/>
          <w:lang w:val="en-US" w:eastAsia="zh-CN"/>
        </w:rPr>
      </w:pPr>
      <w:r>
        <w:rPr>
          <w:rFonts w:ascii="宋体" w:hAnsi="宋体" w:eastAsia="宋体" w:cs="宋体"/>
          <w:sz w:val="24"/>
          <w:szCs w:val="24"/>
        </w:rPr>
        <w:drawing>
          <wp:anchor distT="0" distB="0" distL="114300" distR="114300" simplePos="0" relativeHeight="251660288" behindDoc="1" locked="0" layoutInCell="1" allowOverlap="1">
            <wp:simplePos x="0" y="0"/>
            <wp:positionH relativeFrom="column">
              <wp:posOffset>-236220</wp:posOffset>
            </wp:positionH>
            <wp:positionV relativeFrom="paragraph">
              <wp:posOffset>3520440</wp:posOffset>
            </wp:positionV>
            <wp:extent cx="5895975" cy="3538220"/>
            <wp:effectExtent l="0" t="0" r="1905" b="12700"/>
            <wp:wrapNone/>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895975" cy="3538220"/>
                    </a:xfrm>
                    <a:prstGeom prst="rect">
                      <a:avLst/>
                    </a:prstGeom>
                    <a:noFill/>
                    <a:ln w="9525">
                      <a:noFill/>
                    </a:ln>
                  </pic:spPr>
                </pic:pic>
              </a:graphicData>
            </a:graphic>
          </wp:anchor>
        </w:drawing>
      </w:r>
      <w:r>
        <w:rPr>
          <w:rFonts w:ascii="宋体" w:hAnsi="宋体" w:eastAsia="宋体" w:cs="宋体"/>
          <w:sz w:val="24"/>
          <w:szCs w:val="24"/>
        </w:rPr>
        <w:drawing>
          <wp:anchor distT="0" distB="0" distL="114300" distR="114300" simplePos="0" relativeHeight="251659264" behindDoc="1" locked="0" layoutInCell="1" allowOverlap="1">
            <wp:simplePos x="0" y="0"/>
            <wp:positionH relativeFrom="column">
              <wp:posOffset>-220980</wp:posOffset>
            </wp:positionH>
            <wp:positionV relativeFrom="paragraph">
              <wp:posOffset>144780</wp:posOffset>
            </wp:positionV>
            <wp:extent cx="5862320" cy="3253740"/>
            <wp:effectExtent l="0" t="0" r="5080" b="762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862320" cy="3253740"/>
                    </a:xfrm>
                    <a:prstGeom prst="rect">
                      <a:avLst/>
                    </a:prstGeom>
                    <a:noFill/>
                    <a:ln w="9525">
                      <a:noFill/>
                    </a:ln>
                  </pic:spPr>
                </pic:pic>
              </a:graphicData>
            </a:graphic>
          </wp:anchor>
        </w:drawing>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1MWRiMmU5Mzg0ZTZkMWE2NjVmOGUxMzY1MDFlMWIifQ=="/>
  </w:docVars>
  <w:rsids>
    <w:rsidRoot w:val="1373141D"/>
    <w:rsid w:val="102C45F0"/>
    <w:rsid w:val="1373141D"/>
    <w:rsid w:val="1A8E274C"/>
    <w:rsid w:val="43234D74"/>
    <w:rsid w:val="6A7C2F35"/>
    <w:rsid w:val="75EB6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区发展规划和统计局</Company>
  <Pages>1</Pages>
  <Words>0</Words>
  <Characters>0</Characters>
  <Lines>0</Lines>
  <Paragraphs>0</Paragraphs>
  <TotalTime>14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2023-05-08T02:32:00Z</dcterms:created>
  <dc:creator>WPS_1601339880</dc:creator>
  <cp:lastModifiedBy>WPS_1601339880</cp:lastModifiedBy>
  <dcterms:modified xsi:type="dcterms:W3CDTF">2023-05-11T01:09:15Z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3018CC17387047A194E4833E77B36128</vt:lpwstr>
  </property>
</Properties>
</file>