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佛山市南海区</w:t>
      </w:r>
      <w:r>
        <w:rPr>
          <w:rFonts w:hint="eastAsia" w:ascii="方正小标宋简体" w:hAnsi="方正小标宋简体" w:eastAsia="方正小标宋简体" w:cs="方正小标宋简体"/>
          <w:color w:val="auto"/>
          <w:sz w:val="44"/>
          <w:szCs w:val="44"/>
          <w:lang w:val="en-US" w:eastAsia="zh-CN"/>
        </w:rPr>
        <w:t>促进新型储能电站发展扶持办法</w:t>
      </w:r>
    </w:p>
    <w:p>
      <w:pPr>
        <w:pStyle w:val="6"/>
        <w:jc w:val="center"/>
        <w:rPr>
          <w:rFonts w:hint="eastAsia"/>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征求意见稿</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第一章</w:t>
      </w:r>
      <w:r>
        <w:rPr>
          <w:rFonts w:hint="eastAsia" w:ascii="黑体" w:hAnsi="黑体" w:eastAsia="黑体" w:cs="黑体"/>
          <w:color w:val="auto"/>
          <w:sz w:val="32"/>
          <w:szCs w:val="32"/>
          <w:lang w:val="en-US" w:eastAsia="zh-CN"/>
        </w:rPr>
        <w:t xml:space="preserve">  总则</w:t>
      </w:r>
    </w:p>
    <w:p>
      <w:pPr>
        <w:keepNext w:val="0"/>
        <w:keepLines w:val="0"/>
        <w:widowControl/>
        <w:suppressLineNumbers w:val="0"/>
        <w:ind w:firstLine="643" w:firstLineChars="200"/>
        <w:jc w:val="left"/>
        <w:rPr>
          <w:rFonts w:hint="eastAsia" w:ascii="仿宋_GB2312" w:hAnsi="仿宋_GB2312" w:eastAsia="仿宋_GB2312" w:cs="仿宋_GB2312"/>
          <w:color w:val="auto"/>
          <w:sz w:val="32"/>
          <w:szCs w:val="32"/>
          <w:lang w:eastAsia="zh-CN"/>
        </w:rPr>
      </w:pPr>
      <w:r>
        <w:rPr>
          <w:rFonts w:hint="eastAsia" w:ascii="楷体" w:hAnsi="楷体" w:eastAsia="楷体" w:cs="黑体"/>
          <w:b/>
          <w:sz w:val="32"/>
          <w:szCs w:val="32"/>
          <w:lang w:eastAsia="zh-CN"/>
        </w:rPr>
        <w:t>第一条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新型储能是支撑新型电力系统的重要技术和基础装备，对推动能源绿色转型、保障能源安全、节约能源、促进能源高质量发展具有重要意义。</w:t>
      </w:r>
      <w:r>
        <w:rPr>
          <w:rFonts w:hint="eastAsia" w:ascii="仿宋" w:hAnsi="仿宋" w:eastAsia="仿宋" w:cs="仿宋"/>
          <w:kern w:val="0"/>
          <w:sz w:val="32"/>
          <w:szCs w:val="32"/>
          <w:lang w:bidi="ar"/>
        </w:rPr>
        <w:t>为贯彻落实国家、省、市关于推动新型储能产业发展的相关文件精神</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根据《佛山市南海区促进新型储能产业发展扶持方案（试行）》（南府办函〔2023〕68号）有关要求，明确储能电站建设相关条款具体内容及操作规范，制定本扶持办法。</w:t>
      </w:r>
    </w:p>
    <w:p>
      <w:pPr>
        <w:widowControl/>
        <w:spacing w:before="217" w:beforeLines="50" w:after="217" w:afterLines="50" w:line="560" w:lineRule="exact"/>
        <w:jc w:val="center"/>
        <w:rPr>
          <w:rFonts w:ascii="黑体" w:hAnsi="宋体" w:eastAsia="黑体" w:cs="黑体"/>
          <w:kern w:val="0"/>
          <w:sz w:val="32"/>
          <w:szCs w:val="32"/>
          <w:lang w:bidi="ar"/>
        </w:rPr>
      </w:pPr>
      <w:r>
        <w:rPr>
          <w:rFonts w:hint="eastAsia" w:ascii="黑体" w:hAnsi="宋体" w:eastAsia="黑体" w:cs="黑体"/>
          <w:kern w:val="0"/>
          <w:sz w:val="32"/>
          <w:szCs w:val="32"/>
          <w:lang w:bidi="ar"/>
        </w:rPr>
        <w:t>第二章 适用范围</w:t>
      </w:r>
    </w:p>
    <w:p>
      <w:pPr>
        <w:spacing w:line="560" w:lineRule="exact"/>
        <w:ind w:firstLine="643" w:firstLineChars="200"/>
        <w:jc w:val="left"/>
        <w:rPr>
          <w:rFonts w:hint="eastAsia" w:ascii="仿宋" w:hAnsi="仿宋" w:eastAsia="仿宋" w:cs="仿宋"/>
          <w:color w:val="auto"/>
          <w:sz w:val="32"/>
          <w:szCs w:val="32"/>
        </w:rPr>
      </w:pPr>
      <w:r>
        <w:rPr>
          <w:rFonts w:hint="eastAsia" w:ascii="楷体" w:hAnsi="楷体" w:eastAsia="楷体" w:cs="黑体"/>
          <w:b/>
          <w:sz w:val="32"/>
          <w:szCs w:val="32"/>
          <w:lang w:eastAsia="zh-CN"/>
        </w:rPr>
        <w:t>第二条</w:t>
      </w:r>
      <w:r>
        <w:rPr>
          <w:rFonts w:hint="eastAsia" w:ascii="楷体" w:hAnsi="楷体" w:eastAsia="楷体" w:cs="仿宋"/>
          <w:b/>
          <w:bCs/>
          <w:kern w:val="0"/>
          <w:sz w:val="32"/>
          <w:szCs w:val="32"/>
          <w:lang w:bidi="ar"/>
        </w:rPr>
        <w:t xml:space="preserve"> </w:t>
      </w:r>
      <w:r>
        <w:rPr>
          <w:rFonts w:hint="eastAsia" w:ascii="仿宋" w:hAnsi="仿宋" w:eastAsia="仿宋" w:cs="仿宋"/>
          <w:kern w:val="0"/>
          <w:sz w:val="32"/>
          <w:szCs w:val="32"/>
          <w:lang w:bidi="ar"/>
        </w:rPr>
        <w:t>本</w:t>
      </w:r>
      <w:r>
        <w:rPr>
          <w:rFonts w:hint="eastAsia" w:ascii="仿宋" w:hAnsi="仿宋" w:eastAsia="仿宋" w:cs="仿宋"/>
          <w:color w:val="auto"/>
          <w:kern w:val="0"/>
          <w:sz w:val="32"/>
          <w:szCs w:val="32"/>
          <w:lang w:val="en-US" w:eastAsia="zh-CN" w:bidi="ar"/>
        </w:rPr>
        <w:t>办法</w:t>
      </w:r>
      <w:r>
        <w:rPr>
          <w:rFonts w:hint="eastAsia" w:ascii="仿宋" w:hAnsi="仿宋" w:eastAsia="仿宋" w:cs="仿宋"/>
          <w:color w:val="auto"/>
          <w:kern w:val="0"/>
          <w:sz w:val="32"/>
          <w:szCs w:val="32"/>
          <w:lang w:bidi="ar"/>
        </w:rPr>
        <w:t>所称</w:t>
      </w:r>
      <w:r>
        <w:rPr>
          <w:rFonts w:hint="eastAsia" w:ascii="仿宋" w:hAnsi="仿宋" w:eastAsia="仿宋" w:cs="仿宋"/>
          <w:color w:val="auto"/>
          <w:sz w:val="32"/>
          <w:szCs w:val="32"/>
        </w:rPr>
        <w:t>新型储能主要包括电化学储能、机械储能、电磁储能、</w:t>
      </w:r>
      <w:r>
        <w:rPr>
          <w:rFonts w:hint="eastAsia" w:ascii="仿宋" w:hAnsi="仿宋" w:eastAsia="仿宋" w:cs="仿宋"/>
          <w:color w:val="000000" w:themeColor="text1"/>
          <w:sz w:val="32"/>
          <w:szCs w:val="32"/>
          <w14:textFill>
            <w14:solidFill>
              <w14:schemeClr w14:val="tx1"/>
            </w14:solidFill>
          </w14:textFill>
        </w:rPr>
        <w:t>氢</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储能、热（冷）储能</w:t>
      </w:r>
      <w:r>
        <w:rPr>
          <w:rFonts w:hint="eastAsia" w:ascii="仿宋" w:hAnsi="仿宋" w:eastAsia="仿宋" w:cs="仿宋"/>
          <w:color w:val="auto"/>
          <w:sz w:val="32"/>
          <w:szCs w:val="32"/>
        </w:rPr>
        <w:t>等形式。</w:t>
      </w:r>
    </w:p>
    <w:p>
      <w:pPr>
        <w:widowControl/>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bidi="ar"/>
        </w:rPr>
        <w:t>本</w:t>
      </w:r>
      <w:r>
        <w:rPr>
          <w:rFonts w:hint="eastAsia" w:ascii="仿宋" w:hAnsi="仿宋" w:eastAsia="仿宋" w:cs="仿宋"/>
          <w:color w:val="auto"/>
          <w:kern w:val="0"/>
          <w:sz w:val="32"/>
          <w:szCs w:val="32"/>
          <w:lang w:val="en-US" w:eastAsia="zh-CN" w:bidi="ar"/>
        </w:rPr>
        <w:t>办法</w:t>
      </w:r>
      <w:r>
        <w:rPr>
          <w:rFonts w:hint="eastAsia" w:ascii="仿宋" w:hAnsi="仿宋" w:eastAsia="仿宋" w:cs="仿宋"/>
          <w:color w:val="auto"/>
          <w:kern w:val="0"/>
          <w:sz w:val="32"/>
          <w:szCs w:val="32"/>
          <w:lang w:bidi="ar"/>
        </w:rPr>
        <w:t>适用于登记注册地、税务征管关系及统计关系在佛山市南海区范围内，有健全财务制度、独立法人资格、实行独立核算，同时符合以下条件的企业或机构（本</w:t>
      </w:r>
      <w:r>
        <w:rPr>
          <w:rFonts w:hint="eastAsia" w:ascii="仿宋" w:hAnsi="仿宋" w:eastAsia="仿宋" w:cs="仿宋"/>
          <w:color w:val="auto"/>
          <w:kern w:val="0"/>
          <w:sz w:val="32"/>
          <w:szCs w:val="32"/>
          <w:lang w:val="en-US" w:eastAsia="zh-CN" w:bidi="ar"/>
        </w:rPr>
        <w:t>办法</w:t>
      </w:r>
      <w:r>
        <w:rPr>
          <w:rFonts w:hint="eastAsia" w:ascii="仿宋" w:hAnsi="仿宋" w:eastAsia="仿宋" w:cs="仿宋"/>
          <w:color w:val="auto"/>
          <w:kern w:val="0"/>
          <w:sz w:val="32"/>
          <w:szCs w:val="32"/>
          <w:lang w:bidi="ar"/>
        </w:rPr>
        <w:t xml:space="preserve">另有规定的除外）： </w:t>
      </w:r>
    </w:p>
    <w:p>
      <w:pPr>
        <w:widowControl/>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bidi="ar"/>
        </w:rPr>
        <w:t xml:space="preserve">（一）依法生产、经营和管理，各项法定许可手续完善，一年内未受生态环境保护行政主管部门行政处罚且三年内未发生生态环境类犯罪； </w:t>
      </w:r>
    </w:p>
    <w:p>
      <w:pPr>
        <w:widowControl/>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bidi="ar"/>
        </w:rPr>
        <w:t xml:space="preserve">（二）一年内未因社会危害性较大的违法行为被处予安全生产行政处罚且三年内未发生较大以上生产安全责任事故； </w:t>
      </w:r>
    </w:p>
    <w:p>
      <w:pPr>
        <w:widowControl/>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bidi="ar"/>
        </w:rPr>
        <w:t xml:space="preserve">（三）符合国家、省、市、区信用管理规定； </w:t>
      </w:r>
    </w:p>
    <w:p>
      <w:pPr>
        <w:widowControl/>
        <w:spacing w:line="560" w:lineRule="exact"/>
        <w:ind w:firstLine="640" w:firstLineChars="200"/>
        <w:jc w:val="left"/>
        <w:rPr>
          <w:rFonts w:hint="eastAsia"/>
          <w:lang w:val="en-US" w:eastAsia="zh-CN"/>
        </w:rPr>
      </w:pPr>
      <w:r>
        <w:rPr>
          <w:rFonts w:hint="eastAsia" w:ascii="仿宋" w:hAnsi="仿宋" w:eastAsia="仿宋" w:cs="仿宋"/>
          <w:color w:val="auto"/>
          <w:kern w:val="0"/>
          <w:sz w:val="32"/>
          <w:szCs w:val="32"/>
          <w:lang w:bidi="ar"/>
        </w:rPr>
        <w:t>（四）通过年度节能目标责任考核。</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扶持标准</w:t>
      </w:r>
    </w:p>
    <w:p>
      <w:pPr>
        <w:spacing w:line="560" w:lineRule="exact"/>
        <w:ind w:firstLine="643" w:firstLineChars="200"/>
        <w:jc w:val="left"/>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楷体" w:hAnsi="楷体" w:eastAsia="楷体" w:cs="黑体"/>
          <w:b/>
          <w:color w:val="auto"/>
          <w:sz w:val="32"/>
          <w:szCs w:val="32"/>
          <w:lang w:val="en-US" w:eastAsia="zh-CN"/>
        </w:rPr>
        <w:t>第三条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本办法扶持内容分为新型储能电站扶持、扩大应用补贴和联盟经费补贴。</w:t>
      </w:r>
      <w:r>
        <w:rPr>
          <w:rFonts w:hint="eastAsia" w:ascii="仿宋" w:hAnsi="仿宋" w:eastAsia="仿宋" w:cs="仿宋"/>
          <w:b w:val="0"/>
          <w:bCs w:val="0"/>
          <w:color w:val="000000" w:themeColor="text1"/>
          <w:sz w:val="32"/>
          <w:szCs w:val="32"/>
          <w:lang w:val="en-US" w:eastAsia="zh-CN"/>
          <w14:textFill>
            <w14:solidFill>
              <w14:schemeClr w14:val="tx1"/>
            </w14:solidFill>
          </w14:textFill>
        </w:rPr>
        <w:t>扶持资金实行总额控制，按照项目建成并网时间优先发放，先建先得，申报补贴总额超过预算扶持资金总额后，不再受理补贴申报。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color w:val="auto"/>
          <w:kern w:val="0"/>
          <w:sz w:val="32"/>
          <w:szCs w:val="32"/>
          <w:lang w:val="en-US" w:bidi="ar"/>
        </w:rPr>
      </w:pPr>
      <w:r>
        <w:rPr>
          <w:rFonts w:hint="eastAsia" w:ascii="仿宋" w:hAnsi="仿宋" w:eastAsia="仿宋" w:cs="仿宋"/>
          <w:b/>
          <w:color w:val="auto"/>
          <w:kern w:val="0"/>
          <w:sz w:val="32"/>
          <w:szCs w:val="32"/>
          <w:lang w:val="en-US" w:eastAsia="zh-CN" w:bidi="ar"/>
        </w:rPr>
        <w:t>（一）新型储能电站扶持。</w:t>
      </w:r>
      <w:r>
        <w:rPr>
          <w:rFonts w:hint="eastAsia" w:ascii="仿宋" w:hAnsi="仿宋" w:eastAsia="仿宋" w:cs="仿宋"/>
          <w:color w:val="auto"/>
          <w:kern w:val="0"/>
          <w:sz w:val="32"/>
          <w:szCs w:val="32"/>
          <w:lang w:bidi="ar"/>
        </w:rPr>
        <w:t>2023年1月1日起在南海区内新注册成立的新型储能</w:t>
      </w:r>
      <w:r>
        <w:rPr>
          <w:rFonts w:hint="eastAsia" w:ascii="仿宋" w:hAnsi="仿宋" w:eastAsia="仿宋" w:cs="仿宋"/>
          <w:color w:val="auto"/>
          <w:kern w:val="0"/>
          <w:sz w:val="32"/>
          <w:szCs w:val="32"/>
          <w:lang w:eastAsia="zh-CN" w:bidi="ar"/>
        </w:rPr>
        <w:t>电</w:t>
      </w:r>
      <w:r>
        <w:rPr>
          <w:rFonts w:hint="eastAsia" w:ascii="仿宋" w:hAnsi="仿宋" w:eastAsia="仿宋" w:cs="仿宋"/>
          <w:color w:val="auto"/>
          <w:kern w:val="0"/>
          <w:sz w:val="32"/>
          <w:szCs w:val="32"/>
          <w:lang w:bidi="ar"/>
        </w:rPr>
        <w:t>站建设企业或者已在南海登记在册的企业利用现有场地改造，在本</w:t>
      </w:r>
      <w:r>
        <w:rPr>
          <w:rFonts w:hint="eastAsia" w:ascii="仿宋" w:hAnsi="仿宋" w:eastAsia="仿宋" w:cs="仿宋"/>
          <w:color w:val="auto"/>
          <w:kern w:val="0"/>
          <w:sz w:val="32"/>
          <w:szCs w:val="32"/>
          <w:lang w:val="en-US" w:eastAsia="zh-CN" w:bidi="ar"/>
        </w:rPr>
        <w:t>办法有效期</w:t>
      </w:r>
      <w:r>
        <w:rPr>
          <w:rFonts w:hint="eastAsia" w:ascii="仿宋" w:hAnsi="仿宋" w:eastAsia="仿宋" w:cs="仿宋"/>
          <w:color w:val="auto"/>
          <w:kern w:val="0"/>
          <w:sz w:val="32"/>
          <w:szCs w:val="32"/>
          <w:lang w:bidi="ar"/>
        </w:rPr>
        <w:t>内</w:t>
      </w:r>
      <w:r>
        <w:rPr>
          <w:rFonts w:hint="eastAsia" w:ascii="仿宋" w:hAnsi="仿宋" w:eastAsia="仿宋" w:cs="仿宋"/>
          <w:color w:val="auto"/>
          <w:kern w:val="0"/>
          <w:sz w:val="32"/>
          <w:szCs w:val="32"/>
          <w:lang w:val="en-US" w:eastAsia="zh-CN" w:bidi="ar"/>
        </w:rPr>
        <w:t>建成并网</w:t>
      </w:r>
      <w:r>
        <w:rPr>
          <w:rFonts w:hint="eastAsia" w:ascii="仿宋" w:hAnsi="仿宋" w:eastAsia="仿宋" w:cs="仿宋"/>
          <w:color w:val="auto"/>
          <w:kern w:val="0"/>
          <w:sz w:val="32"/>
          <w:szCs w:val="32"/>
          <w:lang w:bidi="ar"/>
        </w:rPr>
        <w:t>且符合国家和行业标准的非居民储</w:t>
      </w:r>
      <w:r>
        <w:rPr>
          <w:rFonts w:hint="eastAsia" w:ascii="仿宋" w:hAnsi="仿宋" w:eastAsia="仿宋" w:cs="仿宋"/>
          <w:color w:val="auto"/>
          <w:kern w:val="0"/>
          <w:sz w:val="32"/>
          <w:szCs w:val="32"/>
          <w:highlight w:val="none"/>
          <w:lang w:bidi="ar"/>
        </w:rPr>
        <w:t>能项目，固定资产投资总额</w:t>
      </w:r>
      <w:r>
        <w:rPr>
          <w:rFonts w:hint="eastAsia" w:ascii="仿宋" w:hAnsi="仿宋" w:eastAsia="仿宋" w:cs="仿宋"/>
          <w:color w:val="auto"/>
          <w:kern w:val="0"/>
          <w:sz w:val="32"/>
          <w:szCs w:val="32"/>
          <w:highlight w:val="none"/>
          <w:lang w:val="en-US" w:eastAsia="zh-CN" w:bidi="ar"/>
        </w:rPr>
        <w:t>达</w:t>
      </w:r>
      <w:r>
        <w:rPr>
          <w:rFonts w:hint="eastAsia" w:ascii="仿宋" w:hAnsi="仿宋" w:eastAsia="仿宋" w:cs="仿宋"/>
          <w:color w:val="auto"/>
          <w:kern w:val="0"/>
          <w:sz w:val="32"/>
          <w:szCs w:val="32"/>
          <w:highlight w:val="none"/>
          <w:lang w:bidi="ar"/>
        </w:rPr>
        <w:t>500万元</w:t>
      </w:r>
      <w:r>
        <w:rPr>
          <w:rFonts w:hint="eastAsia" w:ascii="仿宋" w:hAnsi="仿宋" w:eastAsia="仿宋" w:cs="仿宋"/>
          <w:color w:val="auto"/>
          <w:kern w:val="0"/>
          <w:sz w:val="32"/>
          <w:szCs w:val="32"/>
          <w:highlight w:val="none"/>
          <w:lang w:val="en-US" w:eastAsia="zh-CN" w:bidi="ar"/>
        </w:rPr>
        <w:t>及以上</w:t>
      </w:r>
      <w:r>
        <w:rPr>
          <w:rFonts w:hint="eastAsia" w:ascii="仿宋" w:hAnsi="仿宋" w:eastAsia="仿宋" w:cs="仿宋"/>
          <w:color w:val="auto"/>
          <w:kern w:val="0"/>
          <w:sz w:val="32"/>
          <w:szCs w:val="32"/>
          <w:highlight w:val="none"/>
          <w:lang w:bidi="ar"/>
        </w:rPr>
        <w:t>，</w:t>
      </w:r>
      <w:r>
        <w:rPr>
          <w:rFonts w:hint="eastAsia" w:ascii="仿宋" w:hAnsi="仿宋" w:eastAsia="仿宋" w:cs="仿宋"/>
          <w:color w:val="auto"/>
          <w:kern w:val="0"/>
          <w:sz w:val="32"/>
          <w:szCs w:val="32"/>
          <w:highlight w:val="none"/>
          <w:lang w:val="en-US" w:eastAsia="zh-CN" w:bidi="ar"/>
        </w:rPr>
        <w:t>按照建成项目装机容量给予投资方不高于180元/千瓦时补贴，每个项目最高补贴不超过150万元，按照3:3:4的比例分3年补贴。</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jc w:val="both"/>
        <w:textAlignment w:val="auto"/>
        <w:outlineLvl w:val="9"/>
        <w:rPr>
          <w:rFonts w:hint="eastAsia" w:ascii="仿宋" w:hAnsi="仿宋" w:eastAsia="仿宋" w:cs="仿宋"/>
          <w:color w:val="auto"/>
          <w:kern w:val="0"/>
          <w:sz w:val="32"/>
          <w:szCs w:val="32"/>
          <w:lang w:bidi="ar"/>
        </w:rPr>
      </w:pPr>
      <w:r>
        <w:rPr>
          <w:rFonts w:hint="eastAsia" w:ascii="仿宋" w:hAnsi="仿宋" w:eastAsia="仿宋" w:cs="仿宋"/>
          <w:b/>
          <w:color w:val="auto"/>
          <w:kern w:val="0"/>
          <w:sz w:val="32"/>
          <w:szCs w:val="32"/>
          <w:lang w:val="en-US" w:eastAsia="zh-CN" w:bidi="ar"/>
        </w:rPr>
        <w:t>（二）扩大应用补贴。</w:t>
      </w:r>
      <w:r>
        <w:rPr>
          <w:rFonts w:hint="eastAsia" w:ascii="仿宋" w:hAnsi="仿宋" w:eastAsia="仿宋" w:cs="仿宋"/>
          <w:color w:val="auto"/>
          <w:kern w:val="0"/>
          <w:sz w:val="32"/>
          <w:szCs w:val="32"/>
          <w:lang w:bidi="ar"/>
        </w:rPr>
        <w:t>支持新型储能</w:t>
      </w:r>
      <w:r>
        <w:rPr>
          <w:rFonts w:hint="eastAsia" w:ascii="仿宋" w:hAnsi="仿宋" w:eastAsia="仿宋" w:cs="仿宋"/>
          <w:color w:val="auto"/>
          <w:kern w:val="0"/>
          <w:sz w:val="32"/>
          <w:szCs w:val="32"/>
          <w:lang w:val="en-US" w:eastAsia="zh-CN" w:bidi="ar"/>
        </w:rPr>
        <w:t>产业</w:t>
      </w:r>
      <w:r>
        <w:rPr>
          <w:rFonts w:hint="eastAsia" w:ascii="仿宋" w:hAnsi="仿宋" w:eastAsia="仿宋" w:cs="仿宋"/>
          <w:color w:val="auto"/>
          <w:kern w:val="0"/>
          <w:sz w:val="32"/>
          <w:szCs w:val="32"/>
          <w:lang w:bidi="ar"/>
        </w:rPr>
        <w:t>多元化发展，拓展在产业转型、基础建设、民生服务、家居生活等方面的应用，</w:t>
      </w:r>
      <w:r>
        <w:rPr>
          <w:rFonts w:hint="eastAsia" w:ascii="仿宋" w:hAnsi="仿宋" w:eastAsia="仿宋" w:cs="仿宋"/>
          <w:color w:val="auto"/>
          <w:kern w:val="0"/>
          <w:sz w:val="32"/>
          <w:szCs w:val="32"/>
          <w:lang w:val="en-US" w:eastAsia="zh-CN" w:bidi="ar"/>
        </w:rPr>
        <w:t>并</w:t>
      </w:r>
      <w:r>
        <w:rPr>
          <w:rFonts w:hint="eastAsia" w:ascii="仿宋" w:hAnsi="仿宋" w:eastAsia="仿宋" w:cs="仿宋"/>
          <w:color w:val="auto"/>
          <w:kern w:val="0"/>
          <w:sz w:val="32"/>
          <w:szCs w:val="32"/>
          <w:lang w:bidi="ar"/>
        </w:rPr>
        <w:t>给予运营补助</w:t>
      </w:r>
      <w:r>
        <w:rPr>
          <w:rFonts w:hint="eastAsia" w:ascii="仿宋" w:hAnsi="仿宋" w:eastAsia="仿宋" w:cs="仿宋"/>
          <w:color w:val="auto"/>
          <w:kern w:val="0"/>
          <w:sz w:val="32"/>
          <w:szCs w:val="32"/>
          <w:lang w:eastAsia="zh-CN" w:bidi="ar"/>
        </w:rPr>
        <w:t>。</w:t>
      </w:r>
      <w:r>
        <w:rPr>
          <w:rFonts w:hint="eastAsia" w:ascii="仿宋" w:hAnsi="仿宋" w:eastAsia="仿宋" w:cs="仿宋"/>
          <w:color w:val="auto"/>
          <w:kern w:val="0"/>
          <w:sz w:val="32"/>
          <w:szCs w:val="32"/>
          <w:lang w:bidi="ar"/>
        </w:rPr>
        <w:t>鼓励储能项目</w:t>
      </w:r>
      <w:r>
        <w:rPr>
          <w:rFonts w:hint="eastAsia" w:ascii="仿宋" w:hAnsi="仿宋" w:eastAsia="仿宋" w:cs="仿宋"/>
          <w:color w:val="auto"/>
          <w:kern w:val="0"/>
          <w:sz w:val="32"/>
          <w:szCs w:val="32"/>
          <w:lang w:val="en-US" w:eastAsia="zh-CN" w:bidi="ar"/>
        </w:rPr>
        <w:t>在</w:t>
      </w:r>
      <w:r>
        <w:rPr>
          <w:rFonts w:hint="eastAsia" w:ascii="仿宋" w:hAnsi="仿宋" w:eastAsia="仿宋" w:cs="仿宋"/>
          <w:color w:val="auto"/>
          <w:kern w:val="0"/>
          <w:sz w:val="32"/>
          <w:szCs w:val="32"/>
          <w:lang w:bidi="ar"/>
        </w:rPr>
        <w:t>大数据中心、5G 基站、充电设施等</w:t>
      </w:r>
      <w:r>
        <w:rPr>
          <w:rFonts w:hint="eastAsia" w:ascii="仿宋" w:hAnsi="仿宋" w:eastAsia="仿宋" w:cs="仿宋"/>
          <w:color w:val="auto"/>
          <w:kern w:val="0"/>
          <w:sz w:val="32"/>
          <w:szCs w:val="32"/>
          <w:lang w:val="en-US" w:eastAsia="zh-CN" w:bidi="ar"/>
        </w:rPr>
        <w:t>领域</w:t>
      </w:r>
      <w:r>
        <w:rPr>
          <w:rFonts w:hint="eastAsia" w:ascii="仿宋" w:hAnsi="仿宋" w:eastAsia="仿宋" w:cs="仿宋"/>
          <w:color w:val="auto"/>
          <w:kern w:val="0"/>
          <w:sz w:val="32"/>
          <w:szCs w:val="32"/>
          <w:lang w:bidi="ar"/>
        </w:rPr>
        <w:t>布局</w:t>
      </w:r>
      <w:r>
        <w:rPr>
          <w:rFonts w:hint="eastAsia" w:ascii="仿宋" w:hAnsi="仿宋" w:eastAsia="仿宋" w:cs="仿宋"/>
          <w:color w:val="auto"/>
          <w:kern w:val="0"/>
          <w:sz w:val="32"/>
          <w:szCs w:val="32"/>
          <w:lang w:eastAsia="zh-CN" w:bidi="ar"/>
        </w:rPr>
        <w:t>。</w:t>
      </w:r>
      <w:r>
        <w:rPr>
          <w:rFonts w:hint="eastAsia" w:ascii="仿宋" w:hAnsi="仿宋" w:eastAsia="仿宋" w:cs="仿宋"/>
          <w:color w:val="auto"/>
          <w:kern w:val="0"/>
          <w:sz w:val="32"/>
          <w:szCs w:val="32"/>
          <w:lang w:val="en-US" w:eastAsia="zh-CN" w:bidi="ar"/>
        </w:rPr>
        <w:t>2023年1月1日起至本办法有效期内</w:t>
      </w:r>
      <w:r>
        <w:rPr>
          <w:rFonts w:hint="eastAsia" w:ascii="仿宋" w:hAnsi="仿宋" w:eastAsia="仿宋" w:cs="仿宋"/>
          <w:color w:val="auto"/>
          <w:kern w:val="0"/>
          <w:sz w:val="32"/>
          <w:szCs w:val="32"/>
          <w:lang w:eastAsia="zh-CN" w:bidi="ar"/>
        </w:rPr>
        <w:t>在南海</w:t>
      </w:r>
      <w:r>
        <w:rPr>
          <w:rFonts w:hint="eastAsia" w:ascii="仿宋" w:hAnsi="仿宋" w:eastAsia="仿宋" w:cs="仿宋"/>
          <w:color w:val="auto"/>
          <w:kern w:val="0"/>
          <w:sz w:val="32"/>
          <w:szCs w:val="32"/>
          <w:lang w:val="en-US" w:eastAsia="zh-CN" w:bidi="ar"/>
        </w:rPr>
        <w:t>区建成并网的项目，</w:t>
      </w:r>
      <w:r>
        <w:rPr>
          <w:rFonts w:hint="eastAsia" w:ascii="仿宋" w:hAnsi="仿宋" w:eastAsia="仿宋" w:cs="仿宋"/>
          <w:color w:val="auto"/>
          <w:kern w:val="0"/>
          <w:sz w:val="32"/>
          <w:szCs w:val="32"/>
          <w:highlight w:val="none"/>
          <w:lang w:bidi="ar"/>
        </w:rPr>
        <w:t>固定资产投资总额</w:t>
      </w:r>
      <w:r>
        <w:rPr>
          <w:rFonts w:hint="eastAsia" w:ascii="仿宋" w:hAnsi="仿宋" w:eastAsia="仿宋" w:cs="仿宋"/>
          <w:color w:val="auto"/>
          <w:kern w:val="0"/>
          <w:sz w:val="32"/>
          <w:szCs w:val="32"/>
          <w:highlight w:val="none"/>
          <w:lang w:val="en-US" w:eastAsia="zh-CN" w:bidi="ar"/>
        </w:rPr>
        <w:t>不超过</w:t>
      </w:r>
      <w:r>
        <w:rPr>
          <w:rFonts w:hint="eastAsia" w:ascii="仿宋" w:hAnsi="仿宋" w:eastAsia="仿宋" w:cs="仿宋"/>
          <w:color w:val="auto"/>
          <w:kern w:val="0"/>
          <w:sz w:val="32"/>
          <w:szCs w:val="32"/>
          <w:highlight w:val="none"/>
          <w:lang w:bidi="ar"/>
        </w:rPr>
        <w:t>500万元</w:t>
      </w:r>
      <w:r>
        <w:rPr>
          <w:rFonts w:hint="eastAsia" w:ascii="仿宋" w:hAnsi="仿宋" w:eastAsia="仿宋" w:cs="仿宋"/>
          <w:color w:val="auto"/>
          <w:kern w:val="0"/>
          <w:sz w:val="32"/>
          <w:szCs w:val="32"/>
          <w:highlight w:val="none"/>
          <w:lang w:val="en-US" w:eastAsia="zh-CN" w:bidi="ar"/>
        </w:rPr>
        <w:t>，</w:t>
      </w:r>
      <w:r>
        <w:rPr>
          <w:rFonts w:hint="eastAsia" w:ascii="仿宋" w:hAnsi="仿宋" w:eastAsia="仿宋" w:cs="仿宋"/>
          <w:color w:val="auto"/>
          <w:kern w:val="0"/>
          <w:sz w:val="32"/>
          <w:szCs w:val="32"/>
          <w:lang w:val="en-US" w:eastAsia="zh-CN" w:bidi="ar"/>
        </w:rPr>
        <w:t>按照建成项目装机容量给予投资方不高于120元/千瓦时补贴，每个项目最高补贴不超过25万元，按照3:3:4的比例分3年补贴</w:t>
      </w:r>
      <w:r>
        <w:rPr>
          <w:rFonts w:hint="eastAsia" w:ascii="仿宋" w:hAnsi="仿宋" w:eastAsia="仿宋" w:cs="仿宋"/>
          <w:color w:val="auto"/>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jc w:val="both"/>
        <w:textAlignment w:val="auto"/>
        <w:outlineLvl w:val="9"/>
        <w:rPr>
          <w:rFonts w:hint="eastAsia"/>
          <w:lang w:val="en-US" w:eastAsia="zh-CN"/>
        </w:rPr>
      </w:pPr>
      <w:r>
        <w:rPr>
          <w:rFonts w:hint="eastAsia" w:ascii="仿宋" w:hAnsi="仿宋" w:eastAsia="仿宋" w:cs="仿宋"/>
          <w:b/>
          <w:color w:val="auto"/>
          <w:kern w:val="0"/>
          <w:sz w:val="32"/>
          <w:szCs w:val="32"/>
          <w:lang w:val="en-US" w:eastAsia="zh-CN" w:bidi="ar"/>
        </w:rPr>
        <w:t>（三）</w:t>
      </w:r>
      <w:r>
        <w:rPr>
          <w:rFonts w:hint="eastAsia" w:ascii="仿宋" w:hAnsi="仿宋" w:eastAsia="仿宋" w:cs="仿宋"/>
          <w:b/>
          <w:color w:val="auto"/>
          <w:kern w:val="0"/>
          <w:sz w:val="32"/>
          <w:szCs w:val="32"/>
          <w:highlight w:val="none"/>
          <w:lang w:val="en-US" w:eastAsia="zh-CN" w:bidi="ar"/>
        </w:rPr>
        <w:t>联盟经费补贴。</w:t>
      </w:r>
      <w:r>
        <w:rPr>
          <w:rFonts w:hint="eastAsia" w:ascii="仿宋" w:hAnsi="仿宋" w:eastAsia="仿宋" w:cs="仿宋"/>
          <w:b w:val="0"/>
          <w:bCs w:val="0"/>
          <w:smallCaps w:val="0"/>
          <w:color w:val="auto"/>
          <w:kern w:val="0"/>
          <w:sz w:val="32"/>
          <w:szCs w:val="32"/>
          <w:lang w:val="en-US" w:eastAsia="zh-CN" w:bidi="ar"/>
        </w:rPr>
        <w:t>为加快新型储能电站建设，</w:t>
      </w:r>
      <w:r>
        <w:rPr>
          <w:rFonts w:hint="eastAsia" w:ascii="仿宋" w:hAnsi="仿宋" w:eastAsia="仿宋" w:cs="仿宋"/>
          <w:b w:val="0"/>
          <w:bCs/>
          <w:color w:val="auto"/>
          <w:kern w:val="0"/>
          <w:sz w:val="32"/>
          <w:szCs w:val="32"/>
          <w:highlight w:val="none"/>
          <w:lang w:val="en-US" w:eastAsia="zh-CN" w:bidi="ar"/>
        </w:rPr>
        <w:t>做实新型储能产业链服务，</w:t>
      </w:r>
      <w:r>
        <w:rPr>
          <w:rFonts w:hint="eastAsia" w:ascii="仿宋" w:hAnsi="仿宋" w:eastAsia="仿宋" w:cs="仿宋"/>
          <w:smallCaps w:val="0"/>
          <w:color w:val="auto"/>
          <w:kern w:val="0"/>
          <w:sz w:val="32"/>
          <w:szCs w:val="32"/>
          <w:lang w:val="en-US" w:eastAsia="zh-CN" w:bidi="ar"/>
        </w:rPr>
        <w:t>支持</w:t>
      </w:r>
      <w:r>
        <w:rPr>
          <w:rFonts w:hint="eastAsia" w:ascii="仿宋" w:hAnsi="仿宋" w:eastAsia="仿宋" w:cs="仿宋"/>
          <w:color w:val="auto"/>
          <w:sz w:val="32"/>
          <w:szCs w:val="32"/>
          <w:highlight w:val="none"/>
          <w:lang w:val="en-US" w:eastAsia="zh-CN"/>
        </w:rPr>
        <w:t>佛山市南海区新型储能产业联盟</w:t>
      </w:r>
      <w:r>
        <w:rPr>
          <w:rFonts w:hint="eastAsia" w:ascii="仿宋" w:hAnsi="仿宋" w:eastAsia="仿宋" w:cs="仿宋"/>
          <w:smallCaps w:val="0"/>
          <w:color w:val="auto"/>
          <w:kern w:val="0"/>
          <w:sz w:val="32"/>
          <w:szCs w:val="32"/>
          <w:lang w:val="en-US" w:eastAsia="zh-CN" w:bidi="ar"/>
        </w:rPr>
        <w:t>联合产业上下游企业或相关科研机构，在技术研发、生产制造、示范应用、市场开拓等方面谋求合作，在储能原材料制备、储能系统制造、储运氢装备及材料研制、氢电装备等终端装备制造、电化学储能及氢储能示范应用等环节，通过产业链垂直整合和创新资源优化组合，制定</w:t>
      </w:r>
      <w:r>
        <w:rPr>
          <w:rFonts w:hint="eastAsia" w:ascii="仿宋" w:hAnsi="仿宋" w:eastAsia="仿宋" w:cs="仿宋"/>
          <w:color w:val="auto"/>
          <w:sz w:val="32"/>
          <w:szCs w:val="32"/>
          <w:lang w:val="en-US" w:eastAsia="zh-CN"/>
        </w:rPr>
        <w:t>《新型储能产业产品目录》</w:t>
      </w:r>
      <w:r>
        <w:rPr>
          <w:rFonts w:hint="eastAsia" w:ascii="仿宋" w:hAnsi="仿宋" w:eastAsia="仿宋" w:cs="仿宋"/>
          <w:smallCaps w:val="0"/>
          <w:color w:val="auto"/>
          <w:kern w:val="0"/>
          <w:sz w:val="32"/>
          <w:szCs w:val="32"/>
          <w:lang w:val="en-US" w:eastAsia="zh-CN" w:bidi="ar"/>
        </w:rPr>
        <w:t>，扎实推动储能产业补链、强链、延链工作。每月须举办至少一次新型储能产业链常态化活动。每年走访调研相关企业不少于50家，入库新型储能领域专家学者不少于20位，</w:t>
      </w:r>
      <w:r>
        <w:rPr>
          <w:rFonts w:hint="eastAsia" w:ascii="仿宋" w:hAnsi="仿宋" w:eastAsia="仿宋" w:cs="仿宋"/>
          <w:smallCaps w:val="0"/>
          <w:color w:val="auto"/>
          <w:kern w:val="0"/>
          <w:sz w:val="32"/>
          <w:szCs w:val="32"/>
          <w:highlight w:val="none"/>
          <w:lang w:val="en-US" w:eastAsia="zh-CN" w:bidi="ar"/>
        </w:rPr>
        <w:t>联盟成员间形成合作项目不少于20项，联盟成员间实现技术转移或联合转化不少于3项，协助区发改局针对性招引不少于4个新型储能装备制造项目（企业）落地南海</w:t>
      </w:r>
      <w:r>
        <w:rPr>
          <w:rFonts w:hint="eastAsia" w:ascii="仿宋" w:hAnsi="仿宋" w:eastAsia="仿宋" w:cs="仿宋"/>
          <w:smallCaps w:val="0"/>
          <w:color w:val="auto"/>
          <w:kern w:val="0"/>
          <w:sz w:val="32"/>
          <w:szCs w:val="32"/>
          <w:lang w:val="en-US" w:eastAsia="zh-CN" w:bidi="ar"/>
        </w:rPr>
        <w:t>。每年对联盟工作情况进行考核，根据考核情况给予最高30万元的经费补贴。</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扶持申报与审批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z w:val="32"/>
          <w:szCs w:val="32"/>
          <w:lang w:val="en-US" w:eastAsia="zh-CN"/>
        </w:rPr>
      </w:pPr>
      <w:r>
        <w:rPr>
          <w:rFonts w:hint="eastAsia" w:ascii="楷体" w:hAnsi="楷体" w:eastAsia="楷体" w:cs="黑体"/>
          <w:b/>
          <w:color w:val="auto"/>
          <w:sz w:val="32"/>
          <w:szCs w:val="32"/>
          <w:lang w:val="en-US" w:eastAsia="zh-CN"/>
        </w:rPr>
        <w:t>第四条</w:t>
      </w:r>
      <w:r>
        <w:rPr>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申报要求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kern w:val="0"/>
          <w:sz w:val="32"/>
          <w:szCs w:val="32"/>
          <w:lang w:val="en-US" w:eastAsia="zh-CN" w:bidi="ar"/>
        </w:rPr>
      </w:pPr>
      <w:r>
        <w:rPr>
          <w:rFonts w:hint="eastAsia" w:ascii="仿宋" w:hAnsi="仿宋" w:eastAsia="仿宋" w:cs="仿宋"/>
          <w:b w:val="0"/>
          <w:i w:val="0"/>
          <w:caps w:val="0"/>
          <w:color w:val="auto"/>
          <w:spacing w:val="0"/>
          <w:kern w:val="0"/>
          <w:sz w:val="32"/>
          <w:szCs w:val="32"/>
          <w:lang w:val="en-US" w:eastAsia="zh-CN" w:bidi="ar"/>
        </w:rPr>
        <w:t>（一）储能项目实施地点在南海区；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kern w:val="0"/>
          <w:sz w:val="32"/>
          <w:szCs w:val="32"/>
          <w:lang w:val="en-US" w:eastAsia="zh-CN" w:bidi="ar"/>
        </w:rPr>
      </w:pPr>
      <w:r>
        <w:rPr>
          <w:rFonts w:hint="eastAsia" w:ascii="仿宋" w:hAnsi="仿宋" w:eastAsia="仿宋" w:cs="仿宋"/>
          <w:b w:val="0"/>
          <w:i w:val="0"/>
          <w:caps w:val="0"/>
          <w:color w:val="auto"/>
          <w:spacing w:val="0"/>
          <w:kern w:val="0"/>
          <w:sz w:val="32"/>
          <w:szCs w:val="32"/>
          <w:lang w:val="en-US" w:eastAsia="zh-CN" w:bidi="ar"/>
        </w:rPr>
        <w:t>（二）项目已投运；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color w:val="auto"/>
          <w:spacing w:val="6"/>
          <w:lang w:val="en-US" w:eastAsia="zh-CN"/>
        </w:rPr>
      </w:pPr>
      <w:r>
        <w:rPr>
          <w:rFonts w:hint="eastAsia" w:ascii="仿宋" w:hAnsi="仿宋" w:eastAsia="仿宋" w:cs="仿宋"/>
          <w:b w:val="0"/>
          <w:i w:val="0"/>
          <w:caps w:val="0"/>
          <w:color w:val="auto"/>
          <w:spacing w:val="0"/>
          <w:kern w:val="0"/>
          <w:sz w:val="32"/>
          <w:szCs w:val="32"/>
          <w:lang w:val="en-US" w:eastAsia="zh-CN" w:bidi="ar"/>
        </w:rPr>
        <w:t>（三）</w:t>
      </w:r>
      <w:r>
        <w:rPr>
          <w:rFonts w:hint="eastAsia" w:ascii="仿宋" w:hAnsi="仿宋" w:eastAsia="仿宋" w:cs="仿宋"/>
          <w:b w:val="0"/>
          <w:i w:val="0"/>
          <w:caps w:val="0"/>
          <w:color w:val="auto"/>
          <w:spacing w:val="6"/>
          <w:kern w:val="0"/>
          <w:sz w:val="32"/>
          <w:szCs w:val="32"/>
          <w:lang w:val="en-US" w:eastAsia="zh-CN" w:bidi="ar"/>
        </w:rPr>
        <w:t>项目装机容量≥0.5MWh，年利用时长不低于600小时。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b w:val="0"/>
          <w:i w:val="0"/>
          <w:caps w:val="0"/>
          <w:color w:val="auto"/>
          <w:spacing w:val="-6"/>
          <w:kern w:val="0"/>
          <w:sz w:val="32"/>
          <w:szCs w:val="32"/>
          <w:lang w:val="en-US" w:eastAsia="zh-CN" w:bidi="ar"/>
        </w:rPr>
      </w:pPr>
      <w:r>
        <w:rPr>
          <w:rFonts w:hint="eastAsia" w:ascii="仿宋" w:hAnsi="仿宋" w:eastAsia="仿宋" w:cs="仿宋"/>
          <w:b w:val="0"/>
          <w:i w:val="0"/>
          <w:caps w:val="0"/>
          <w:color w:val="auto"/>
          <w:spacing w:val="0"/>
          <w:kern w:val="0"/>
          <w:sz w:val="32"/>
          <w:szCs w:val="32"/>
          <w:lang w:val="en-US" w:eastAsia="zh-CN" w:bidi="ar"/>
        </w:rPr>
        <w:t>（四）</w:t>
      </w:r>
      <w:r>
        <w:rPr>
          <w:rFonts w:hint="eastAsia" w:ascii="仿宋" w:hAnsi="仿宋" w:eastAsia="仿宋" w:cs="仿宋"/>
          <w:b w:val="0"/>
          <w:i w:val="0"/>
          <w:caps w:val="0"/>
          <w:color w:val="auto"/>
          <w:spacing w:val="-6"/>
          <w:kern w:val="0"/>
          <w:sz w:val="32"/>
          <w:szCs w:val="32"/>
          <w:lang w:val="en-US" w:eastAsia="zh-CN" w:bidi="ar"/>
        </w:rPr>
        <w:t>项目采用的储能系统应达到先进水平，单体电芯容量不低于280安时，循环寿命≥5000次且容量保持率≥80%；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kern w:val="0"/>
          <w:sz w:val="32"/>
          <w:szCs w:val="32"/>
          <w:lang w:val="en-US" w:eastAsia="zh-CN" w:bidi="ar"/>
        </w:rPr>
      </w:pPr>
      <w:r>
        <w:rPr>
          <w:rFonts w:hint="eastAsia" w:ascii="仿宋" w:hAnsi="仿宋" w:eastAsia="仿宋" w:cs="仿宋"/>
          <w:b w:val="0"/>
          <w:i w:val="0"/>
          <w:caps w:val="0"/>
          <w:color w:val="auto"/>
          <w:spacing w:val="0"/>
          <w:kern w:val="0"/>
          <w:sz w:val="32"/>
          <w:szCs w:val="32"/>
          <w:lang w:val="en-US" w:eastAsia="zh-CN" w:bidi="ar"/>
        </w:rPr>
        <w:t>（五）项目需具备完善的电芯级、模组级、电池簇级和系统级的四级主、被动安全设计；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kern w:val="0"/>
          <w:sz w:val="32"/>
          <w:szCs w:val="32"/>
          <w:lang w:val="en-US" w:eastAsia="zh-CN" w:bidi="ar"/>
        </w:rPr>
      </w:pPr>
      <w:r>
        <w:rPr>
          <w:rFonts w:hint="eastAsia" w:ascii="仿宋" w:hAnsi="仿宋" w:eastAsia="仿宋" w:cs="仿宋"/>
          <w:b w:val="0"/>
          <w:i w:val="0"/>
          <w:caps w:val="0"/>
          <w:color w:val="auto"/>
          <w:spacing w:val="0"/>
          <w:kern w:val="0"/>
          <w:sz w:val="32"/>
          <w:szCs w:val="32"/>
          <w:lang w:val="en-US" w:eastAsia="zh-CN" w:bidi="ar"/>
        </w:rPr>
        <w:t>（六）项目需具备电池簇级自动均衡、故障定位与隔离和SOC智能运维设计；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kern w:val="0"/>
          <w:sz w:val="32"/>
          <w:szCs w:val="32"/>
          <w:lang w:val="en-US" w:eastAsia="zh-CN" w:bidi="ar"/>
        </w:rPr>
      </w:pPr>
      <w:r>
        <w:rPr>
          <w:rFonts w:hint="eastAsia" w:ascii="仿宋" w:hAnsi="仿宋" w:eastAsia="仿宋" w:cs="仿宋"/>
          <w:b w:val="0"/>
          <w:i w:val="0"/>
          <w:caps w:val="0"/>
          <w:color w:val="auto"/>
          <w:spacing w:val="0"/>
          <w:kern w:val="0"/>
          <w:sz w:val="32"/>
          <w:szCs w:val="32"/>
          <w:lang w:val="en-US" w:eastAsia="zh-CN" w:bidi="ar"/>
        </w:rPr>
        <w:t>（七）项目的储能变流器需采用模块化设计，支持模块化更换；</w:t>
      </w:r>
    </w:p>
    <w:p>
      <w:pPr>
        <w:pStyle w:val="6"/>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b w:val="0"/>
          <w:i w:val="0"/>
          <w:caps w:val="0"/>
          <w:color w:val="auto"/>
          <w:spacing w:val="0"/>
          <w:kern w:val="0"/>
          <w:sz w:val="32"/>
          <w:szCs w:val="32"/>
          <w:lang w:val="en-US" w:eastAsia="zh-CN" w:bidi="ar"/>
        </w:rPr>
        <w:t>（八）项目需借助大数据、云计算等数字化技术，能够实现</w:t>
      </w:r>
      <w:r>
        <w:rPr>
          <w:rFonts w:hint="eastAsia" w:ascii="仿宋" w:hAnsi="仿宋" w:eastAsia="仿宋" w:cs="仿宋"/>
          <w:color w:val="auto"/>
          <w:sz w:val="32"/>
          <w:szCs w:val="32"/>
          <w:lang w:val="en-US" w:eastAsia="zh-CN"/>
        </w:rPr>
        <w:t>储能安全状态感知、诊断和预警。</w:t>
      </w:r>
    </w:p>
    <w:p>
      <w:pPr>
        <w:ind w:firstLine="640" w:firstLineChars="200"/>
        <w:rPr>
          <w:rFonts w:hint="eastAsia" w:ascii="仿宋" w:hAnsi="仿宋" w:eastAsia="仿宋" w:cs="仿宋"/>
          <w:bCs/>
          <w:color w:val="auto"/>
          <w:kern w:val="0"/>
          <w:sz w:val="32"/>
          <w:szCs w:val="32"/>
          <w:highlight w:val="none"/>
          <w:lang w:val="en-US" w:eastAsia="zh-CN" w:bidi="ar-SA"/>
        </w:rPr>
      </w:pPr>
      <w:r>
        <w:rPr>
          <w:rFonts w:hint="eastAsia" w:ascii="仿宋" w:hAnsi="仿宋" w:eastAsia="仿宋" w:cs="仿宋"/>
          <w:color w:val="auto"/>
          <w:sz w:val="32"/>
          <w:szCs w:val="32"/>
          <w:lang w:val="en-US" w:eastAsia="zh-CN"/>
        </w:rPr>
        <w:t>（九）</w:t>
      </w:r>
      <w:r>
        <w:rPr>
          <w:rFonts w:hint="eastAsia" w:ascii="仿宋" w:hAnsi="仿宋" w:eastAsia="仿宋" w:cs="仿宋"/>
          <w:bCs/>
          <w:color w:val="auto"/>
          <w:kern w:val="0"/>
          <w:sz w:val="32"/>
          <w:szCs w:val="32"/>
          <w:highlight w:val="none"/>
          <w:lang w:val="en-US" w:eastAsia="zh-CN" w:bidi="ar-SA"/>
        </w:rPr>
        <w:t>项目需在</w:t>
      </w:r>
      <w:r>
        <w:rPr>
          <w:rFonts w:hint="eastAsia" w:ascii="仿宋" w:hAnsi="仿宋" w:eastAsia="仿宋" w:cs="仿宋"/>
          <w:color w:val="auto"/>
          <w:sz w:val="32"/>
          <w:szCs w:val="32"/>
          <w:highlight w:val="none"/>
          <w:lang w:val="en-US" w:eastAsia="zh-CN"/>
        </w:rPr>
        <w:t>全国新型储能大数据平台和广东省投资项目在线审批监管平台对项目进行备案，</w:t>
      </w:r>
      <w:r>
        <w:rPr>
          <w:rFonts w:hint="eastAsia" w:ascii="仿宋" w:hAnsi="仿宋" w:eastAsia="仿宋" w:cs="仿宋"/>
          <w:bCs/>
          <w:color w:val="auto"/>
          <w:kern w:val="0"/>
          <w:sz w:val="32"/>
          <w:szCs w:val="32"/>
          <w:highlight w:val="none"/>
          <w:lang w:val="en-US" w:eastAsia="zh-CN" w:bidi="ar-SA"/>
        </w:rPr>
        <w:t>备案内容应包括：项目单位基本情况，项目名称、建设地点、建设规模、建设内容（含技术路线、应用场景、主要功能、技术标准、环保安全等）、项目总投资额、项目符合产业政策声明、项目联系人等项目基本信息。</w:t>
      </w:r>
    </w:p>
    <w:p>
      <w:pPr>
        <w:pStyle w:val="6"/>
        <w:ind w:firstLine="640" w:firstLineChars="200"/>
        <w:rPr>
          <w:rFonts w:hint="eastAsia" w:ascii="仿宋" w:hAnsi="仿宋" w:eastAsia="仿宋" w:cs="仿宋"/>
          <w:bCs/>
          <w:smallCaps w:val="0"/>
          <w:color w:val="auto"/>
          <w:kern w:val="0"/>
          <w:sz w:val="32"/>
          <w:szCs w:val="32"/>
          <w:highlight w:val="none"/>
          <w:lang w:val="en-US" w:eastAsia="zh-CN" w:bidi="ar-SA"/>
        </w:rPr>
      </w:pPr>
      <w:r>
        <w:rPr>
          <w:rFonts w:hint="eastAsia" w:ascii="仿宋" w:hAnsi="仿宋" w:eastAsia="仿宋" w:cs="仿宋"/>
          <w:bCs/>
          <w:smallCaps w:val="0"/>
          <w:color w:val="auto"/>
          <w:kern w:val="0"/>
          <w:sz w:val="32"/>
          <w:szCs w:val="32"/>
          <w:highlight w:val="none"/>
          <w:lang w:val="en-US" w:eastAsia="zh-CN" w:bidi="ar-SA"/>
        </w:rPr>
        <w:t>（十）项目在动工前，应认真核算和评估年综合能耗量，如年综合能源消费量1000吨标准煤以上（含1000吨标准煤），或年电力消费量满 500万千瓦时（含500万千瓦时）的，按照《固定资产投资项目节能审查办法》的要求应单独进行节能审查。</w:t>
      </w:r>
    </w:p>
    <w:p>
      <w:pPr>
        <w:pStyle w:val="6"/>
        <w:ind w:firstLine="643" w:firstLineChars="200"/>
        <w:rPr>
          <w:rFonts w:hint="eastAsia" w:ascii="黑体" w:hAnsi="黑体" w:eastAsia="黑体" w:cs="黑体"/>
          <w:b w:val="0"/>
          <w:bCs w:val="0"/>
          <w:smallCaps w:val="0"/>
          <w:color w:val="auto"/>
          <w:kern w:val="2"/>
          <w:sz w:val="32"/>
          <w:szCs w:val="32"/>
          <w:lang w:val="en-US" w:eastAsia="zh-CN" w:bidi="ar-SA"/>
        </w:rPr>
      </w:pPr>
      <w:r>
        <w:rPr>
          <w:rFonts w:hint="eastAsia" w:ascii="楷体" w:hAnsi="楷体" w:eastAsia="楷体" w:cs="黑体"/>
          <w:b/>
          <w:smallCaps w:val="0"/>
          <w:color w:val="auto"/>
          <w:kern w:val="2"/>
          <w:sz w:val="32"/>
          <w:szCs w:val="32"/>
          <w:lang w:val="en-US" w:eastAsia="zh-CN" w:bidi="ar-SA"/>
        </w:rPr>
        <w:t xml:space="preserve">第五条 </w:t>
      </w:r>
      <w:r>
        <w:rPr>
          <w:rFonts w:hint="eastAsia" w:ascii="仿宋_GB2312" w:hAnsi="仿宋_GB2312" w:eastAsia="仿宋_GB2312" w:cs="仿宋_GB2312"/>
          <w:b/>
          <w:bCs/>
          <w:smallCaps w:val="0"/>
          <w:color w:val="auto"/>
          <w:kern w:val="2"/>
          <w:sz w:val="32"/>
          <w:szCs w:val="32"/>
          <w:lang w:val="en-US" w:eastAsia="zh-CN" w:bidi="ar-SA"/>
        </w:rPr>
        <w:t>申报材料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color w:val="auto"/>
          <w:sz w:val="32"/>
          <w:szCs w:val="32"/>
          <w:lang w:val="en-US" w:eastAsia="zh-CN"/>
        </w:rPr>
        <w:t>（一）</w:t>
      </w:r>
      <w:r>
        <w:rPr>
          <w:rFonts w:hint="eastAsia" w:ascii="仿宋" w:hAnsi="仿宋" w:eastAsia="仿宋" w:cs="仿宋"/>
          <w:b w:val="0"/>
          <w:i w:val="0"/>
          <w:caps w:val="0"/>
          <w:color w:val="auto"/>
          <w:spacing w:val="0"/>
          <w:kern w:val="0"/>
          <w:sz w:val="32"/>
          <w:szCs w:val="32"/>
          <w:lang w:val="en-US" w:eastAsia="zh-CN" w:bidi="ar"/>
        </w:rPr>
        <w:t>《</w:t>
      </w:r>
      <w:r>
        <w:rPr>
          <w:rFonts w:hint="eastAsia" w:ascii="仿宋" w:hAnsi="仿宋" w:eastAsia="仿宋" w:cs="仿宋"/>
          <w:color w:val="auto"/>
          <w:sz w:val="32"/>
          <w:szCs w:val="32"/>
          <w:lang w:val="en-US" w:eastAsia="zh-CN"/>
        </w:rPr>
        <w:t>佛山市南海区新型储能电站扶持补贴申请表</w:t>
      </w:r>
      <w:r>
        <w:rPr>
          <w:rFonts w:hint="eastAsia" w:ascii="仿宋" w:hAnsi="仿宋" w:eastAsia="仿宋" w:cs="仿宋"/>
          <w:b w:val="0"/>
          <w:i w:val="0"/>
          <w:caps w:val="0"/>
          <w:color w:val="auto"/>
          <w:spacing w:val="0"/>
          <w:kern w:val="0"/>
          <w:sz w:val="32"/>
          <w:szCs w:val="32"/>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（二）项目备案证明、</w:t>
      </w:r>
      <w:r>
        <w:rPr>
          <w:rFonts w:hint="eastAsia" w:ascii="仿宋" w:hAnsi="仿宋" w:eastAsia="仿宋" w:cs="仿宋"/>
          <w:b w:val="0"/>
          <w:i w:val="0"/>
          <w:caps w:val="0"/>
          <w:color w:val="auto"/>
          <w:spacing w:val="0"/>
          <w:kern w:val="0"/>
          <w:sz w:val="32"/>
          <w:szCs w:val="32"/>
          <w:lang w:val="en-US" w:eastAsia="zh-CN" w:bidi="ar"/>
        </w:rPr>
        <w:t>企业营业执照、组织机构代码证、税务登记证（或三证合一营业执照）复印件</w:t>
      </w:r>
      <w:r>
        <w:rPr>
          <w:rFonts w:hint="eastAsia" w:ascii="仿宋" w:hAnsi="仿宋" w:eastAsia="仿宋" w:cs="仿宋"/>
          <w:color w:val="auto"/>
          <w:sz w:val="32"/>
          <w:szCs w:val="32"/>
          <w:lang w:val="en-US" w:eastAsia="zh-CN"/>
        </w:rPr>
        <w:t>；</w:t>
      </w:r>
    </w:p>
    <w:p>
      <w:pPr>
        <w:pStyle w:val="6"/>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（三）项目技术说明（包含“第四条 申报要求”中的技术要求）。</w:t>
      </w:r>
    </w:p>
    <w:p>
      <w:pPr>
        <w:pStyle w:val="6"/>
        <w:ind w:firstLine="640" w:firstLineChars="200"/>
        <w:rPr>
          <w:rFonts w:hint="eastAsia" w:ascii="仿宋" w:hAnsi="仿宋" w:eastAsia="仿宋" w:cs="仿宋"/>
          <w:caps w:val="0"/>
          <w:smallCaps/>
          <w:color w:val="auto"/>
          <w:spacing w:val="-1"/>
          <w:sz w:val="32"/>
          <w:szCs w:val="32"/>
          <w:lang w:val="en-US" w:eastAsia="zh-CN"/>
        </w:rPr>
      </w:pPr>
      <w:r>
        <w:rPr>
          <w:rFonts w:hint="eastAsia" w:ascii="仿宋" w:hAnsi="仿宋" w:eastAsia="仿宋" w:cs="仿宋"/>
          <w:color w:val="auto"/>
          <w:sz w:val="32"/>
          <w:szCs w:val="32"/>
          <w:lang w:val="en-US" w:eastAsia="zh-CN"/>
        </w:rPr>
        <w:t>（四）</w:t>
      </w:r>
      <w:r>
        <w:rPr>
          <w:rFonts w:hint="eastAsia" w:ascii="仿宋" w:hAnsi="仿宋" w:eastAsia="仿宋" w:cs="仿宋"/>
          <w:caps w:val="0"/>
          <w:smallCaps/>
          <w:color w:val="auto"/>
          <w:spacing w:val="-1"/>
          <w:sz w:val="32"/>
          <w:szCs w:val="32"/>
          <w:lang w:val="en-US" w:eastAsia="zh-CN"/>
        </w:rPr>
        <w:t>由有资质的第三方机构出具的专项财务审计报告。</w:t>
      </w:r>
    </w:p>
    <w:p>
      <w:pPr>
        <w:pStyle w:val="6"/>
        <w:ind w:firstLine="636" w:firstLineChars="200"/>
        <w:rPr>
          <w:rFonts w:hint="eastAsia"/>
          <w:caps w:val="0"/>
          <w:smallCaps/>
          <w:color w:val="auto"/>
          <w:spacing w:val="-1"/>
          <w:lang w:val="en-US" w:eastAsia="zh-CN"/>
        </w:rPr>
      </w:pPr>
      <w:r>
        <w:rPr>
          <w:rFonts w:hint="eastAsia" w:ascii="仿宋" w:hAnsi="仿宋" w:eastAsia="仿宋" w:cs="仿宋"/>
          <w:caps w:val="0"/>
          <w:smallCaps/>
          <w:color w:val="auto"/>
          <w:spacing w:val="-1"/>
          <w:sz w:val="32"/>
          <w:szCs w:val="32"/>
          <w:lang w:val="en-US" w:eastAsia="zh-CN"/>
        </w:rPr>
        <w:t>（五）其他符合拟申报补贴对应条件的佐证材料。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黑体"/>
          <w:b/>
          <w:smallCaps w:val="0"/>
          <w:color w:val="auto"/>
          <w:kern w:val="2"/>
          <w:sz w:val="32"/>
          <w:szCs w:val="32"/>
          <w:lang w:val="en-US" w:eastAsia="zh-CN" w:bidi="ar-SA"/>
        </w:rPr>
        <w:t>第六条</w:t>
      </w:r>
      <w:r>
        <w:rPr>
          <w:rFonts w:hint="eastAsia" w:ascii="仿宋_GB2312" w:hAnsi="仿宋_GB2312" w:eastAsia="仿宋_GB2312" w:cs="仿宋_GB2312"/>
          <w:b/>
          <w:bCs/>
          <w:color w:val="auto"/>
          <w:sz w:val="32"/>
          <w:szCs w:val="32"/>
          <w:lang w:val="en-US" w:eastAsia="zh-CN"/>
        </w:rPr>
        <w:t xml:space="preserve"> 申报审核流程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（一）发布通知。区发改局每年通过佛山扶持通平台发布申报通知。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（二）申报。企业或机构通过佛山扶持通平台进行网上申报，提交电子版申报材料。受理通过后，企业通过平台打印申报材料提交至所在镇（街道）经济发展办公室。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（三）初审。镇（街道）经济发展办公室对新型储能电站扶持、扩大应用补贴和联盟经费补贴的申请材料的真实性和完备性进行审查，确定所需总资金明细，加具意见后，报区发改局进行复审。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（四）复审及公示。区税</w:t>
      </w:r>
      <w:r>
        <w:rPr>
          <w:rFonts w:hint="eastAsia" w:ascii="仿宋" w:hAnsi="仿宋" w:eastAsia="仿宋" w:cs="仿宋"/>
          <w:color w:val="auto"/>
          <w:sz w:val="32"/>
          <w:szCs w:val="32"/>
          <w:lang w:val="en-US" w:eastAsia="zh-CN"/>
        </w:rPr>
        <w:t>务局负责提供名单内企业的区内纳税额或纳税同比增量</w:t>
      </w:r>
      <w:r>
        <w:rPr>
          <w:rFonts w:hint="eastAsia" w:ascii="仿宋" w:hAnsi="仿宋" w:eastAsia="仿宋" w:cs="仿宋"/>
          <w:color w:val="auto"/>
          <w:sz w:val="32"/>
          <w:szCs w:val="32"/>
          <w:highlight w:val="none"/>
          <w:lang w:val="en-US" w:eastAsia="zh-CN"/>
        </w:rPr>
        <w:t>。区发改局组织开展复审，并对通过复审的奖励名单进行公示，公示期为5个工作日。公示期内收到投诉或异议的，由区发改局会同相关部门进行处理。公示期间接到举报和质疑的，由区发改局负责调查、核实并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kern w:val="2"/>
          <w:sz w:val="32"/>
          <w:szCs w:val="32"/>
          <w:highlight w:val="none"/>
          <w:u w:val="none"/>
          <w:shd w:val="clear" w:color="auto" w:fill="FFFFFF"/>
          <w:lang w:val="en-US" w:eastAsia="zh-CN" w:bidi="ar-SA"/>
        </w:rPr>
      </w:pPr>
      <w:r>
        <w:rPr>
          <w:rFonts w:hint="eastAsia" w:ascii="仿宋" w:hAnsi="仿宋" w:eastAsia="仿宋" w:cs="仿宋"/>
          <w:color w:val="auto"/>
          <w:sz w:val="32"/>
          <w:szCs w:val="32"/>
          <w:highlight w:val="none"/>
          <w:lang w:val="en-US" w:eastAsia="zh-CN"/>
        </w:rPr>
        <w:t>（五）资金拨付。</w:t>
      </w:r>
      <w:r>
        <w:rPr>
          <w:rFonts w:hint="eastAsia" w:ascii="仿宋" w:hAnsi="仿宋" w:eastAsia="仿宋" w:cs="仿宋"/>
          <w:b w:val="0"/>
          <w:bCs w:val="0"/>
          <w:color w:val="auto"/>
          <w:kern w:val="0"/>
          <w:sz w:val="32"/>
          <w:szCs w:val="32"/>
          <w:lang w:val="en-US" w:eastAsia="zh-CN" w:bidi="ar"/>
        </w:rPr>
        <w:t>公示无异议后，由区发展和改革局按照财政国库集中支付业务操作规程的要求拨付资金给申请人提交的开户账号</w:t>
      </w:r>
      <w:r>
        <w:rPr>
          <w:rFonts w:hint="eastAsia" w:ascii="仿宋" w:hAnsi="仿宋" w:eastAsia="仿宋" w:cs="仿宋"/>
          <w:color w:val="auto"/>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bCs/>
          <w:color w:val="auto"/>
          <w:kern w:val="2"/>
          <w:sz w:val="32"/>
          <w:szCs w:val="32"/>
          <w:highlight w:val="none"/>
          <w:u w:val="none"/>
          <w:shd w:val="clear" w:color="auto" w:fill="FFFFFF"/>
          <w:lang w:val="en-US" w:eastAsia="zh-CN" w:bidi="ar-SA"/>
        </w:rPr>
      </w:pPr>
      <w:r>
        <w:rPr>
          <w:rFonts w:hint="eastAsia" w:ascii="黑体" w:hAnsi="黑体" w:eastAsia="黑体" w:cs="黑体"/>
          <w:b w:val="0"/>
          <w:bCs w:val="0"/>
          <w:color w:val="auto"/>
          <w:kern w:val="2"/>
          <w:sz w:val="32"/>
          <w:szCs w:val="32"/>
          <w:highlight w:val="none"/>
          <w:u w:val="none"/>
          <w:shd w:val="clear" w:color="auto" w:fill="FFFFFF"/>
          <w:lang w:val="en-US" w:eastAsia="zh-CN" w:bidi="ar-SA"/>
        </w:rPr>
        <w:t>第五章  资金管理和监督检查</w:t>
      </w:r>
    </w:p>
    <w:p>
      <w:pPr>
        <w:keepNext w:val="0"/>
        <w:keepLines w:val="0"/>
        <w:pageBreakBefore w:val="0"/>
        <w:kinsoku/>
        <w:overflowPunct/>
        <w:topLinePunct w:val="0"/>
        <w:autoSpaceDE/>
        <w:autoSpaceDN/>
        <w:bidi w:val="0"/>
        <w:adjustRightInd/>
        <w:snapToGrid/>
        <w:spacing w:line="600" w:lineRule="exact"/>
        <w:ind w:left="0" w:leftChars="0" w:right="0" w:rightChars="0" w:firstLine="636" w:firstLineChars="198"/>
        <w:textAlignment w:val="auto"/>
        <w:outlineLvl w:val="9"/>
        <w:rPr>
          <w:rFonts w:hint="default" w:ascii="楷体" w:hAnsi="楷体" w:eastAsia="楷体" w:cs="黑体"/>
          <w:b/>
          <w:smallCaps w:val="0"/>
          <w:color w:val="auto"/>
          <w:kern w:val="2"/>
          <w:sz w:val="32"/>
          <w:szCs w:val="32"/>
          <w:lang w:val="en-US" w:eastAsia="zh-CN" w:bidi="ar-SA"/>
        </w:rPr>
      </w:pPr>
      <w:r>
        <w:rPr>
          <w:rFonts w:hint="eastAsia" w:ascii="楷体" w:hAnsi="楷体" w:eastAsia="楷体" w:cs="黑体"/>
          <w:b/>
          <w:smallCaps w:val="0"/>
          <w:color w:val="auto"/>
          <w:kern w:val="2"/>
          <w:sz w:val="32"/>
          <w:szCs w:val="32"/>
          <w:lang w:val="en-US" w:eastAsia="zh-CN" w:bidi="ar-SA"/>
        </w:rPr>
        <w:t xml:space="preserve">第七条  </w:t>
      </w:r>
      <w:r>
        <w:rPr>
          <w:rFonts w:hint="eastAsia" w:ascii="仿宋" w:hAnsi="仿宋" w:eastAsia="仿宋" w:cs="仿宋"/>
          <w:b w:val="0"/>
          <w:bCs w:val="0"/>
          <w:color w:val="000000" w:themeColor="text1"/>
          <w:sz w:val="32"/>
          <w:szCs w:val="32"/>
          <w:lang w:val="en-US" w:eastAsia="zh-CN"/>
          <w14:textFill>
            <w14:solidFill>
              <w14:schemeClr w14:val="tx1"/>
            </w14:solidFill>
          </w14:textFill>
        </w:rPr>
        <w:t>区发改局负责就本办法编制“新型储能电站建设扶持资金”资金预算，按区级财政专项资金管理办法的相关要求申请纳入年度财政预算安排。扶持资金总规模不超过预算安排上限，年度资金支出以当年预算安排为限</w:t>
      </w:r>
      <w:r>
        <w:rPr>
          <w:rFonts w:hint="eastAsia" w:ascii="仿宋" w:hAnsi="仿宋" w:eastAsia="仿宋" w:cs="仿宋"/>
          <w:b w:val="0"/>
          <w:bCs w:val="0"/>
          <w:color w:val="auto"/>
          <w:kern w:val="2"/>
          <w:sz w:val="32"/>
          <w:szCs w:val="32"/>
          <w:highlight w:val="none"/>
          <w:u w:val="none"/>
          <w:shd w:val="clear" w:color="auto" w:fill="FFFFFF"/>
          <w:lang w:val="en-US" w:eastAsia="zh-CN" w:bidi="ar-SA"/>
        </w:rPr>
        <w:t>。</w:t>
      </w:r>
    </w:p>
    <w:p>
      <w:pPr>
        <w:keepNext w:val="0"/>
        <w:keepLines w:val="0"/>
        <w:pageBreakBefore w:val="0"/>
        <w:kinsoku/>
        <w:overflowPunct/>
        <w:topLinePunct w:val="0"/>
        <w:autoSpaceDE/>
        <w:autoSpaceDN/>
        <w:bidi w:val="0"/>
        <w:adjustRightInd/>
        <w:snapToGrid/>
        <w:spacing w:line="600" w:lineRule="exact"/>
        <w:ind w:left="0" w:leftChars="0" w:right="0" w:rightChars="0" w:firstLine="636" w:firstLineChars="198"/>
        <w:textAlignment w:val="auto"/>
        <w:outlineLvl w:val="9"/>
        <w:rPr>
          <w:rFonts w:hint="eastAsia" w:ascii="仿宋" w:hAnsi="仿宋" w:eastAsia="仿宋" w:cs="仿宋"/>
          <w:b w:val="0"/>
          <w:bCs w:val="0"/>
          <w:color w:val="auto"/>
          <w:kern w:val="2"/>
          <w:sz w:val="32"/>
          <w:szCs w:val="32"/>
          <w:highlight w:val="none"/>
          <w:u w:val="none"/>
          <w:shd w:val="clear" w:color="auto" w:fill="FFFFFF"/>
          <w:lang w:val="en-US" w:eastAsia="zh-CN" w:bidi="ar-SA"/>
        </w:rPr>
      </w:pPr>
      <w:r>
        <w:rPr>
          <w:rFonts w:hint="eastAsia" w:ascii="楷体" w:hAnsi="楷体" w:eastAsia="楷体" w:cs="黑体"/>
          <w:b/>
          <w:smallCaps w:val="0"/>
          <w:color w:val="auto"/>
          <w:kern w:val="2"/>
          <w:sz w:val="32"/>
          <w:szCs w:val="32"/>
          <w:lang w:val="en-US" w:eastAsia="zh-CN" w:bidi="ar-SA"/>
        </w:rPr>
        <w:t>第八条</w:t>
      </w:r>
      <w:r>
        <w:rPr>
          <w:rFonts w:hint="eastAsia" w:ascii="仿宋" w:hAnsi="仿宋" w:eastAsia="仿宋" w:cs="仿宋"/>
          <w:b w:val="0"/>
          <w:bCs w:val="0"/>
          <w:color w:val="auto"/>
          <w:kern w:val="2"/>
          <w:sz w:val="32"/>
          <w:szCs w:val="32"/>
          <w:highlight w:val="none"/>
          <w:u w:val="none"/>
          <w:shd w:val="clear" w:color="auto" w:fill="FFFFFF"/>
          <w:lang w:val="en-US" w:eastAsia="zh-CN" w:bidi="ar-SA"/>
        </w:rPr>
        <w:t xml:space="preserve">  </w:t>
      </w:r>
      <w:r>
        <w:rPr>
          <w:rFonts w:hint="eastAsia" w:ascii="仿宋" w:hAnsi="仿宋" w:eastAsia="仿宋" w:cs="仿宋"/>
          <w:color w:val="auto"/>
          <w:sz w:val="32"/>
          <w:szCs w:val="32"/>
          <w:highlight w:val="none"/>
        </w:rPr>
        <w:t>申</w:t>
      </w:r>
      <w:r>
        <w:rPr>
          <w:rFonts w:hint="eastAsia" w:ascii="仿宋" w:hAnsi="仿宋" w:eastAsia="仿宋" w:cs="仿宋"/>
          <w:color w:val="auto"/>
          <w:sz w:val="32"/>
          <w:szCs w:val="32"/>
          <w:highlight w:val="none"/>
          <w:lang w:eastAsia="zh-CN"/>
        </w:rPr>
        <w:t>报</w:t>
      </w:r>
      <w:r>
        <w:rPr>
          <w:rFonts w:hint="eastAsia" w:ascii="仿宋" w:hAnsi="仿宋" w:eastAsia="仿宋" w:cs="仿宋"/>
          <w:color w:val="auto"/>
          <w:sz w:val="32"/>
          <w:szCs w:val="32"/>
          <w:highlight w:val="none"/>
        </w:rPr>
        <w:t>企业应如实提供申报材料，并对申报材料的真实性、完整性、有效性和合法性承担全部责任</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不得弄虚作假和套取、骗取财政资金</w:t>
      </w:r>
      <w:r>
        <w:rPr>
          <w:rFonts w:hint="eastAsia" w:ascii="仿宋" w:hAnsi="仿宋" w:eastAsia="仿宋" w:cs="仿宋"/>
          <w:color w:val="auto"/>
          <w:sz w:val="32"/>
          <w:szCs w:val="32"/>
          <w:highlight w:val="none"/>
          <w:lang w:val="en-US" w:eastAsia="zh-CN"/>
        </w:rPr>
        <w:t>;</w:t>
      </w:r>
      <w:r>
        <w:rPr>
          <w:rFonts w:hint="eastAsia" w:ascii="仿宋" w:hAnsi="仿宋" w:eastAsia="仿宋" w:cs="仿宋"/>
          <w:b w:val="0"/>
          <w:bCs w:val="0"/>
          <w:color w:val="auto"/>
          <w:kern w:val="2"/>
          <w:sz w:val="32"/>
          <w:szCs w:val="32"/>
          <w:highlight w:val="none"/>
          <w:u w:val="none"/>
          <w:shd w:val="clear" w:color="auto" w:fill="FFFFFF"/>
          <w:lang w:val="en-US" w:eastAsia="zh-CN" w:bidi="ar-SA"/>
        </w:rPr>
        <w:t>应当自觉接受区发改局、财政局、审计局、经促局、统计局等相关部门的考核、监督、审计、调研等工作。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6" w:firstLineChars="198"/>
        <w:jc w:val="both"/>
        <w:textAlignment w:val="auto"/>
        <w:outlineLvl w:val="9"/>
        <w:rPr>
          <w:rFonts w:hint="eastAsia" w:ascii="仿宋" w:hAnsi="仿宋" w:eastAsia="仿宋" w:cs="仿宋"/>
          <w:b w:val="0"/>
          <w:bCs w:val="0"/>
          <w:color w:val="auto"/>
          <w:kern w:val="2"/>
          <w:sz w:val="32"/>
          <w:szCs w:val="32"/>
          <w:highlight w:val="none"/>
          <w:u w:val="none"/>
          <w:shd w:val="clear" w:color="auto" w:fill="FFFFFF"/>
          <w:lang w:val="en-US" w:eastAsia="zh-CN" w:bidi="ar-SA"/>
        </w:rPr>
      </w:pPr>
      <w:r>
        <w:rPr>
          <w:rFonts w:hint="eastAsia" w:ascii="楷体" w:hAnsi="楷体" w:eastAsia="楷体" w:cs="黑体"/>
          <w:b/>
          <w:smallCaps w:val="0"/>
          <w:color w:val="auto"/>
          <w:kern w:val="2"/>
          <w:sz w:val="32"/>
          <w:szCs w:val="32"/>
          <w:highlight w:val="none"/>
          <w:lang w:val="en-US" w:eastAsia="zh-CN" w:bidi="ar-SA"/>
        </w:rPr>
        <w:t>第九条</w:t>
      </w:r>
      <w:r>
        <w:rPr>
          <w:rFonts w:hint="eastAsia" w:ascii="仿宋" w:hAnsi="仿宋" w:eastAsia="仿宋" w:cs="仿宋"/>
          <w:b w:val="0"/>
          <w:bCs w:val="0"/>
          <w:color w:val="auto"/>
          <w:kern w:val="2"/>
          <w:sz w:val="32"/>
          <w:szCs w:val="32"/>
          <w:highlight w:val="none"/>
          <w:u w:val="none"/>
          <w:shd w:val="clear" w:color="auto" w:fill="FFFFFF"/>
          <w:lang w:val="en-US" w:eastAsia="zh-CN" w:bidi="ar-SA"/>
        </w:rPr>
        <w:t xml:space="preserve">  各镇街按规定开展项目申报、做好项目初审工作及监督检查等工作；区财政局负责专项资金的预算管理和监督检查，按照相关规定对专项资金实施绩效评价。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6" w:firstLineChars="198"/>
        <w:jc w:val="both"/>
        <w:textAlignment w:val="auto"/>
        <w:outlineLvl w:val="9"/>
        <w:rPr>
          <w:rFonts w:hint="eastAsia"/>
          <w:lang w:val="en-US" w:eastAsia="zh-CN"/>
        </w:rPr>
      </w:pPr>
      <w:r>
        <w:rPr>
          <w:rFonts w:hint="eastAsia" w:ascii="楷体" w:hAnsi="楷体" w:eastAsia="楷体" w:cs="黑体"/>
          <w:b/>
          <w:smallCaps w:val="0"/>
          <w:color w:val="auto"/>
          <w:kern w:val="2"/>
          <w:sz w:val="32"/>
          <w:szCs w:val="32"/>
          <w:highlight w:val="none"/>
          <w:lang w:val="en-US" w:eastAsia="zh-CN" w:bidi="ar-SA"/>
        </w:rPr>
        <w:t>第十条</w:t>
      </w:r>
      <w:r>
        <w:rPr>
          <w:rFonts w:hint="eastAsia" w:ascii="仿宋" w:hAnsi="仿宋" w:eastAsia="仿宋" w:cs="仿宋"/>
          <w:b w:val="0"/>
          <w:bCs w:val="0"/>
          <w:color w:val="auto"/>
          <w:kern w:val="2"/>
          <w:sz w:val="32"/>
          <w:szCs w:val="32"/>
          <w:highlight w:val="none"/>
          <w:u w:val="none"/>
          <w:shd w:val="clear" w:color="auto" w:fill="FFFFFF"/>
          <w:lang w:val="en-US" w:eastAsia="zh-CN" w:bidi="ar-SA"/>
        </w:rPr>
        <w:t xml:space="preserve">  </w:t>
      </w:r>
      <w:r>
        <w:rPr>
          <w:rFonts w:hint="eastAsia" w:ascii="仿宋_GB2312" w:eastAsia="仿宋_GB2312"/>
          <w:color w:val="auto"/>
          <w:sz w:val="32"/>
          <w:szCs w:val="32"/>
          <w:highlight w:val="none"/>
          <w:lang w:eastAsia="zh-CN"/>
        </w:rPr>
        <w:t>对于</w:t>
      </w:r>
      <w:r>
        <w:rPr>
          <w:rFonts w:hint="eastAsia" w:ascii="仿宋" w:hAnsi="仿宋" w:eastAsia="仿宋" w:cs="仿宋"/>
          <w:b w:val="0"/>
          <w:bCs w:val="0"/>
          <w:color w:val="auto"/>
          <w:kern w:val="2"/>
          <w:sz w:val="32"/>
          <w:szCs w:val="32"/>
          <w:highlight w:val="none"/>
          <w:u w:val="none"/>
          <w:shd w:val="clear" w:color="auto" w:fill="FFFFFF"/>
          <w:lang w:val="en-US" w:eastAsia="zh-CN" w:bidi="ar-SA"/>
        </w:rPr>
        <w:t>弄虚作假骗取扶持资金的企业，应</w:t>
      </w:r>
      <w:r>
        <w:rPr>
          <w:rFonts w:hint="eastAsia" w:ascii="仿宋" w:hAnsi="仿宋" w:eastAsia="仿宋" w:cs="仿宋"/>
          <w:b w:val="0"/>
          <w:i w:val="0"/>
          <w:color w:val="auto"/>
          <w:sz w:val="32"/>
          <w:szCs w:val="32"/>
          <w:highlight w:val="none"/>
        </w:rPr>
        <w:t>撤销其</w:t>
      </w:r>
      <w:r>
        <w:rPr>
          <w:rFonts w:hint="eastAsia" w:ascii="仿宋" w:hAnsi="仿宋" w:eastAsia="仿宋" w:cs="仿宋"/>
          <w:b w:val="0"/>
          <w:i w:val="0"/>
          <w:color w:val="auto"/>
          <w:sz w:val="32"/>
          <w:szCs w:val="32"/>
          <w:highlight w:val="none"/>
          <w:lang w:val="en-US" w:eastAsia="zh-CN"/>
        </w:rPr>
        <w:t>补贴</w:t>
      </w:r>
      <w:r>
        <w:rPr>
          <w:rFonts w:hint="eastAsia" w:ascii="仿宋" w:hAnsi="仿宋" w:eastAsia="仿宋" w:cs="仿宋"/>
          <w:b w:val="0"/>
          <w:i w:val="0"/>
          <w:color w:val="auto"/>
          <w:sz w:val="32"/>
          <w:szCs w:val="32"/>
          <w:highlight w:val="none"/>
        </w:rPr>
        <w:t>资格，</w:t>
      </w:r>
      <w:r>
        <w:rPr>
          <w:rFonts w:hint="eastAsia" w:ascii="仿宋" w:hAnsi="仿宋" w:eastAsia="仿宋" w:cs="仿宋"/>
          <w:b w:val="0"/>
          <w:i w:val="0"/>
          <w:color w:val="auto"/>
          <w:sz w:val="32"/>
          <w:szCs w:val="32"/>
          <w:highlight w:val="none"/>
          <w:lang w:val="en-US" w:eastAsia="zh-CN"/>
        </w:rPr>
        <w:t>在本办法有效期内不再享受所有扶持补贴，</w:t>
      </w:r>
      <w:r>
        <w:rPr>
          <w:rFonts w:hint="eastAsia" w:ascii="仿宋" w:hAnsi="仿宋" w:eastAsia="仿宋" w:cs="仿宋"/>
          <w:b w:val="0"/>
          <w:i w:val="0"/>
          <w:color w:val="auto"/>
          <w:sz w:val="32"/>
          <w:szCs w:val="32"/>
          <w:highlight w:val="none"/>
        </w:rPr>
        <w:t>并追回已拨付的</w:t>
      </w:r>
      <w:r>
        <w:rPr>
          <w:rFonts w:hint="eastAsia" w:ascii="仿宋" w:hAnsi="仿宋" w:eastAsia="仿宋" w:cs="仿宋"/>
          <w:b w:val="0"/>
          <w:i w:val="0"/>
          <w:color w:val="auto"/>
          <w:sz w:val="32"/>
          <w:szCs w:val="32"/>
          <w:highlight w:val="none"/>
          <w:lang w:val="en-US" w:eastAsia="zh-CN"/>
        </w:rPr>
        <w:t>扶持</w:t>
      </w:r>
      <w:r>
        <w:rPr>
          <w:rFonts w:hint="eastAsia" w:ascii="仿宋" w:hAnsi="仿宋" w:eastAsia="仿宋" w:cs="仿宋"/>
          <w:b w:val="0"/>
          <w:i w:val="0"/>
          <w:color w:val="auto"/>
          <w:sz w:val="32"/>
          <w:szCs w:val="32"/>
          <w:highlight w:val="none"/>
        </w:rPr>
        <w:t>资金</w:t>
      </w:r>
      <w:r>
        <w:rPr>
          <w:rFonts w:hint="eastAsia" w:ascii="仿宋" w:hAnsi="仿宋" w:eastAsia="仿宋" w:cs="仿宋"/>
          <w:b w:val="0"/>
          <w:i w:val="0"/>
          <w:color w:val="auto"/>
          <w:sz w:val="32"/>
          <w:szCs w:val="32"/>
          <w:highlight w:val="none"/>
          <w:lang w:eastAsia="zh-CN"/>
        </w:rPr>
        <w:t>，</w:t>
      </w:r>
      <w:r>
        <w:rPr>
          <w:rFonts w:hint="eastAsia" w:ascii="仿宋" w:hAnsi="仿宋" w:eastAsia="仿宋" w:cs="仿宋"/>
          <w:b w:val="0"/>
          <w:i w:val="0"/>
          <w:color w:val="auto"/>
          <w:sz w:val="32"/>
          <w:szCs w:val="32"/>
          <w:highlight w:val="none"/>
          <w:lang w:val="en-US" w:eastAsia="zh-CN"/>
        </w:rPr>
        <w:t>追究有关单位及其相关人员责任，构成犯罪的，依法移交司法机关处理。</w:t>
      </w:r>
    </w:p>
    <w:p>
      <w:pPr>
        <w:keepNext w:val="0"/>
        <w:keepLines w:val="0"/>
        <w:pageBreakBefore w:val="0"/>
        <w:kinsoku/>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kern w:val="0"/>
          <w:sz w:val="32"/>
          <w:szCs w:val="32"/>
          <w:highlight w:val="none"/>
          <w:lang w:val="en-US" w:eastAsia="zh-CN" w:bidi="ar"/>
        </w:rPr>
      </w:pPr>
      <w:r>
        <w:rPr>
          <w:rFonts w:hint="eastAsia" w:ascii="楷体" w:hAnsi="楷体" w:eastAsia="楷体" w:cs="黑体"/>
          <w:b/>
          <w:smallCaps w:val="0"/>
          <w:color w:val="auto"/>
          <w:kern w:val="2"/>
          <w:sz w:val="32"/>
          <w:szCs w:val="32"/>
          <w:highlight w:val="none"/>
          <w:lang w:val="en-US" w:eastAsia="zh-CN" w:bidi="ar-SA"/>
        </w:rPr>
        <w:t>第十一条</w:t>
      </w:r>
      <w:r>
        <w:rPr>
          <w:rFonts w:ascii="楷体" w:hAnsi="楷体" w:eastAsia="楷体" w:cs="黑体"/>
          <w:b/>
          <w:color w:val="auto"/>
          <w:sz w:val="32"/>
          <w:szCs w:val="32"/>
          <w:highlight w:val="none"/>
        </w:rPr>
        <w:t xml:space="preserve"> </w:t>
      </w:r>
      <w:r>
        <w:rPr>
          <w:rFonts w:ascii="仿宋" w:hAnsi="仿宋" w:eastAsia="仿宋" w:cs="仿宋"/>
          <w:color w:val="auto"/>
          <w:kern w:val="0"/>
          <w:sz w:val="32"/>
          <w:szCs w:val="32"/>
          <w:highlight w:val="none"/>
          <w:lang w:bidi="ar"/>
        </w:rPr>
        <w:t>除特别规定外，同一企业符合本区</w:t>
      </w:r>
      <w:r>
        <w:rPr>
          <w:rFonts w:hint="eastAsia" w:ascii="仿宋" w:hAnsi="仿宋" w:eastAsia="仿宋" w:cs="仿宋"/>
          <w:color w:val="auto"/>
          <w:kern w:val="0"/>
          <w:sz w:val="32"/>
          <w:szCs w:val="32"/>
          <w:highlight w:val="none"/>
          <w:lang w:eastAsia="zh-CN" w:bidi="ar"/>
        </w:rPr>
        <w:t>、</w:t>
      </w:r>
      <w:r>
        <w:rPr>
          <w:rFonts w:hint="eastAsia" w:ascii="仿宋" w:hAnsi="仿宋" w:eastAsia="仿宋" w:cs="仿宋"/>
          <w:color w:val="auto"/>
          <w:kern w:val="0"/>
          <w:sz w:val="32"/>
          <w:szCs w:val="32"/>
          <w:highlight w:val="none"/>
          <w:lang w:val="en-US" w:eastAsia="zh-CN" w:bidi="ar"/>
        </w:rPr>
        <w:t>本办法</w:t>
      </w:r>
      <w:r>
        <w:rPr>
          <w:rFonts w:ascii="仿宋" w:hAnsi="仿宋" w:eastAsia="仿宋" w:cs="仿宋"/>
          <w:color w:val="auto"/>
          <w:kern w:val="0"/>
          <w:sz w:val="32"/>
          <w:szCs w:val="32"/>
          <w:highlight w:val="none"/>
          <w:lang w:bidi="ar"/>
        </w:rPr>
        <w:t>多项同类政策支持的，按就高不重复的原则执行</w:t>
      </w:r>
      <w:r>
        <w:rPr>
          <w:rFonts w:hint="eastAsia" w:ascii="仿宋" w:hAnsi="仿宋" w:eastAsia="仿宋" w:cs="仿宋"/>
          <w:color w:val="auto"/>
          <w:kern w:val="0"/>
          <w:sz w:val="32"/>
          <w:szCs w:val="32"/>
          <w:highlight w:val="none"/>
          <w:lang w:bidi="ar"/>
        </w:rPr>
        <w:t>；</w:t>
      </w:r>
      <w:r>
        <w:rPr>
          <w:rFonts w:hint="eastAsia" w:ascii="仿宋" w:hAnsi="仿宋" w:eastAsia="仿宋" w:cs="仿宋"/>
          <w:color w:val="auto"/>
          <w:kern w:val="0"/>
          <w:sz w:val="32"/>
          <w:szCs w:val="32"/>
          <w:highlight w:val="none"/>
          <w:lang w:val="en-US" w:eastAsia="zh-CN" w:bidi="ar"/>
        </w:rPr>
        <w:t>符合条件的单位须在申报通知规定时间内提交申请，逾期未申请，视为主动放弃奖励；</w:t>
      </w:r>
      <w:r>
        <w:rPr>
          <w:rFonts w:ascii="仿宋" w:hAnsi="仿宋" w:eastAsia="仿宋" w:cs="仿宋"/>
          <w:color w:val="auto"/>
          <w:kern w:val="0"/>
          <w:sz w:val="32"/>
          <w:szCs w:val="32"/>
          <w:highlight w:val="none"/>
          <w:lang w:bidi="ar"/>
        </w:rPr>
        <w:t>享受本</w:t>
      </w:r>
      <w:r>
        <w:rPr>
          <w:rFonts w:hint="eastAsia" w:ascii="仿宋" w:hAnsi="仿宋" w:eastAsia="仿宋" w:cs="仿宋"/>
          <w:color w:val="auto"/>
          <w:kern w:val="0"/>
          <w:sz w:val="32"/>
          <w:szCs w:val="32"/>
          <w:highlight w:val="none"/>
          <w:lang w:val="en-US" w:eastAsia="zh-CN" w:bidi="ar"/>
        </w:rPr>
        <w:t>办法</w:t>
      </w:r>
      <w:r>
        <w:rPr>
          <w:rFonts w:ascii="仿宋" w:hAnsi="仿宋" w:eastAsia="仿宋" w:cs="仿宋"/>
          <w:color w:val="auto"/>
          <w:kern w:val="0"/>
          <w:sz w:val="32"/>
          <w:szCs w:val="32"/>
          <w:highlight w:val="none"/>
          <w:lang w:bidi="ar"/>
        </w:rPr>
        <w:t>扶持的对象，须接受行业主管部门的监督并签订承诺书</w:t>
      </w:r>
      <w:r>
        <w:rPr>
          <w:rFonts w:hint="eastAsia" w:ascii="仿宋" w:hAnsi="仿宋" w:eastAsia="仿宋" w:cs="仿宋"/>
          <w:color w:val="auto"/>
          <w:kern w:val="0"/>
          <w:sz w:val="32"/>
          <w:szCs w:val="32"/>
          <w:highlight w:val="none"/>
          <w:lang w:eastAsia="zh-CN" w:bidi="ar"/>
        </w:rPr>
        <w:t>，</w:t>
      </w:r>
      <w:r>
        <w:rPr>
          <w:rFonts w:hint="eastAsia" w:ascii="仿宋" w:hAnsi="仿宋" w:eastAsia="仿宋" w:cs="仿宋"/>
          <w:color w:val="auto"/>
          <w:kern w:val="0"/>
          <w:sz w:val="32"/>
          <w:szCs w:val="32"/>
          <w:highlight w:val="none"/>
          <w:lang w:bidi="ar"/>
        </w:rPr>
        <w:t>承诺</w:t>
      </w:r>
      <w:r>
        <w:rPr>
          <w:rFonts w:hint="eastAsia" w:ascii="仿宋" w:hAnsi="仿宋" w:eastAsia="仿宋" w:cs="仿宋"/>
          <w:color w:val="auto"/>
          <w:kern w:val="0"/>
          <w:sz w:val="32"/>
          <w:szCs w:val="32"/>
          <w:highlight w:val="none"/>
          <w:lang w:val="en-US" w:eastAsia="zh-CN" w:bidi="ar"/>
        </w:rPr>
        <w:t>自获得最后一笔补贴当年起三</w:t>
      </w:r>
      <w:r>
        <w:rPr>
          <w:rFonts w:hint="eastAsia" w:ascii="仿宋" w:hAnsi="仿宋" w:eastAsia="仿宋" w:cs="仿宋"/>
          <w:color w:val="auto"/>
          <w:kern w:val="0"/>
          <w:sz w:val="32"/>
          <w:szCs w:val="32"/>
          <w:highlight w:val="none"/>
          <w:lang w:bidi="ar"/>
        </w:rPr>
        <w:t>年内</w:t>
      </w:r>
      <w:r>
        <w:rPr>
          <w:rFonts w:hint="eastAsia" w:ascii="仿宋" w:hAnsi="仿宋" w:eastAsia="仿宋" w:cs="仿宋"/>
          <w:color w:val="auto"/>
          <w:kern w:val="0"/>
          <w:sz w:val="32"/>
          <w:szCs w:val="32"/>
          <w:highlight w:val="none"/>
          <w:lang w:val="en-US" w:eastAsia="zh-CN" w:bidi="ar"/>
        </w:rPr>
        <w:t>若迁出南海或注销的，应退所获取所有扶持补贴。</w:t>
      </w:r>
    </w:p>
    <w:p>
      <w:pPr>
        <w:spacing w:line="560" w:lineRule="exact"/>
        <w:ind w:firstLine="643" w:firstLineChars="200"/>
        <w:jc w:val="both"/>
        <w:rPr>
          <w:rFonts w:ascii="仿宋" w:hAnsi="仿宋" w:eastAsia="仿宋" w:cs="仿宋"/>
          <w:color w:val="auto"/>
          <w:kern w:val="0"/>
          <w:sz w:val="32"/>
          <w:szCs w:val="32"/>
          <w:highlight w:val="none"/>
          <w:lang w:bidi="ar"/>
        </w:rPr>
      </w:pPr>
      <w:r>
        <w:rPr>
          <w:rFonts w:hint="eastAsia" w:ascii="楷体" w:hAnsi="楷体" w:eastAsia="楷体" w:cs="黑体"/>
          <w:b/>
          <w:color w:val="auto"/>
          <w:sz w:val="32"/>
          <w:szCs w:val="32"/>
          <w:highlight w:val="none"/>
        </w:rPr>
        <w:t>第</w:t>
      </w:r>
      <w:r>
        <w:rPr>
          <w:rFonts w:hint="eastAsia" w:ascii="楷体" w:hAnsi="楷体" w:eastAsia="楷体" w:cs="黑体"/>
          <w:b/>
          <w:color w:val="auto"/>
          <w:sz w:val="32"/>
          <w:szCs w:val="32"/>
          <w:highlight w:val="none"/>
          <w:lang w:val="en-US" w:eastAsia="zh-CN"/>
        </w:rPr>
        <w:t>十二</w:t>
      </w:r>
      <w:r>
        <w:rPr>
          <w:rFonts w:hint="eastAsia" w:ascii="楷体" w:hAnsi="楷体" w:eastAsia="楷体" w:cs="黑体"/>
          <w:b/>
          <w:color w:val="auto"/>
          <w:sz w:val="32"/>
          <w:szCs w:val="32"/>
          <w:highlight w:val="none"/>
        </w:rPr>
        <w:t>条</w:t>
      </w:r>
      <w:r>
        <w:rPr>
          <w:rFonts w:ascii="楷体" w:hAnsi="楷体" w:eastAsia="楷体" w:cs="黑体"/>
          <w:b/>
          <w:color w:val="auto"/>
          <w:sz w:val="32"/>
          <w:szCs w:val="32"/>
          <w:highlight w:val="none"/>
        </w:rPr>
        <w:t xml:space="preserve"> </w:t>
      </w:r>
      <w:r>
        <w:rPr>
          <w:rFonts w:ascii="仿宋" w:hAnsi="仿宋" w:eastAsia="仿宋" w:cs="仿宋"/>
          <w:color w:val="auto"/>
          <w:kern w:val="0"/>
          <w:sz w:val="32"/>
          <w:szCs w:val="32"/>
          <w:highlight w:val="none"/>
          <w:lang w:bidi="ar"/>
        </w:rPr>
        <w:t>本</w:t>
      </w:r>
      <w:r>
        <w:rPr>
          <w:rFonts w:hint="eastAsia" w:ascii="仿宋" w:hAnsi="仿宋" w:eastAsia="仿宋" w:cs="仿宋"/>
          <w:color w:val="auto"/>
          <w:kern w:val="0"/>
          <w:sz w:val="32"/>
          <w:szCs w:val="32"/>
          <w:highlight w:val="none"/>
          <w:lang w:val="en-US" w:eastAsia="zh-CN" w:bidi="ar"/>
        </w:rPr>
        <w:t>办法</w:t>
      </w:r>
      <w:r>
        <w:rPr>
          <w:rFonts w:ascii="仿宋" w:hAnsi="仿宋" w:eastAsia="仿宋" w:cs="仿宋"/>
          <w:color w:val="auto"/>
          <w:kern w:val="0"/>
          <w:sz w:val="32"/>
          <w:szCs w:val="32"/>
          <w:highlight w:val="none"/>
          <w:lang w:bidi="ar"/>
        </w:rPr>
        <w:t>各项扶持</w:t>
      </w:r>
      <w:r>
        <w:rPr>
          <w:rFonts w:hint="eastAsia" w:ascii="仿宋" w:hAnsi="仿宋" w:eastAsia="仿宋" w:cs="仿宋"/>
          <w:color w:val="auto"/>
          <w:kern w:val="0"/>
          <w:sz w:val="32"/>
          <w:szCs w:val="32"/>
          <w:highlight w:val="none"/>
          <w:lang w:val="en-US" w:eastAsia="zh-CN" w:bidi="ar"/>
        </w:rPr>
        <w:t>补贴</w:t>
      </w:r>
      <w:r>
        <w:rPr>
          <w:rFonts w:ascii="仿宋" w:hAnsi="仿宋" w:eastAsia="仿宋" w:cs="仿宋"/>
          <w:color w:val="auto"/>
          <w:kern w:val="0"/>
          <w:sz w:val="32"/>
          <w:szCs w:val="32"/>
          <w:highlight w:val="none"/>
          <w:lang w:bidi="ar"/>
        </w:rPr>
        <w:t>条款所涉及的企业销售收入均不包含关联企业之间的交易费用，且以本地完税发票为依据。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 w:hAnsi="仿宋" w:eastAsia="仿宋" w:cs="仿宋"/>
          <w:color w:val="auto"/>
          <w:kern w:val="0"/>
          <w:sz w:val="32"/>
          <w:szCs w:val="32"/>
          <w:highlight w:val="none"/>
          <w:lang w:bidi="ar"/>
        </w:rPr>
      </w:pPr>
      <w:r>
        <w:rPr>
          <w:rFonts w:hint="eastAsia" w:ascii="楷体" w:hAnsi="楷体" w:eastAsia="楷体" w:cs="黑体"/>
          <w:b/>
          <w:color w:val="auto"/>
          <w:sz w:val="32"/>
          <w:szCs w:val="32"/>
          <w:highlight w:val="none"/>
        </w:rPr>
        <w:t>第</w:t>
      </w:r>
      <w:r>
        <w:rPr>
          <w:rFonts w:hint="eastAsia" w:ascii="楷体" w:hAnsi="楷体" w:eastAsia="楷体" w:cs="黑体"/>
          <w:b/>
          <w:color w:val="auto"/>
          <w:sz w:val="32"/>
          <w:szCs w:val="32"/>
          <w:highlight w:val="none"/>
          <w:lang w:val="en-US" w:eastAsia="zh-CN"/>
        </w:rPr>
        <w:t>十三</w:t>
      </w:r>
      <w:r>
        <w:rPr>
          <w:rFonts w:hint="eastAsia" w:ascii="楷体" w:hAnsi="楷体" w:eastAsia="楷体" w:cs="黑体"/>
          <w:b/>
          <w:color w:val="auto"/>
          <w:sz w:val="32"/>
          <w:szCs w:val="32"/>
          <w:highlight w:val="none"/>
        </w:rPr>
        <w:t>条</w:t>
      </w:r>
      <w:r>
        <w:rPr>
          <w:rFonts w:ascii="楷体" w:hAnsi="楷体" w:eastAsia="楷体" w:cs="黑体"/>
          <w:b/>
          <w:color w:val="auto"/>
          <w:sz w:val="32"/>
          <w:szCs w:val="32"/>
          <w:highlight w:val="none"/>
        </w:rPr>
        <w:t xml:space="preserve"> </w:t>
      </w:r>
      <w:r>
        <w:rPr>
          <w:rFonts w:ascii="仿宋" w:hAnsi="仿宋" w:eastAsia="仿宋" w:cs="仿宋"/>
          <w:color w:val="auto"/>
          <w:kern w:val="0"/>
          <w:sz w:val="32"/>
          <w:szCs w:val="32"/>
          <w:highlight w:val="none"/>
          <w:lang w:bidi="ar"/>
        </w:rPr>
        <w:t>本</w:t>
      </w:r>
      <w:r>
        <w:rPr>
          <w:rFonts w:hint="eastAsia" w:ascii="仿宋" w:hAnsi="仿宋" w:eastAsia="仿宋" w:cs="仿宋"/>
          <w:color w:val="auto"/>
          <w:kern w:val="0"/>
          <w:sz w:val="32"/>
          <w:szCs w:val="32"/>
          <w:highlight w:val="none"/>
          <w:lang w:val="en-US" w:eastAsia="zh-CN" w:bidi="ar"/>
        </w:rPr>
        <w:t>办法</w:t>
      </w:r>
      <w:r>
        <w:rPr>
          <w:rFonts w:ascii="仿宋" w:hAnsi="仿宋" w:eastAsia="仿宋" w:cs="仿宋"/>
          <w:color w:val="auto"/>
          <w:kern w:val="0"/>
          <w:sz w:val="32"/>
          <w:szCs w:val="32"/>
          <w:highlight w:val="none"/>
          <w:lang w:bidi="ar"/>
        </w:rPr>
        <w:t>各项扶持</w:t>
      </w:r>
      <w:r>
        <w:rPr>
          <w:rFonts w:hint="eastAsia" w:ascii="仿宋" w:hAnsi="仿宋" w:eastAsia="仿宋" w:cs="仿宋"/>
          <w:color w:val="auto"/>
          <w:kern w:val="0"/>
          <w:sz w:val="32"/>
          <w:szCs w:val="32"/>
          <w:highlight w:val="none"/>
          <w:lang w:val="en-US" w:eastAsia="zh-CN" w:bidi="ar"/>
        </w:rPr>
        <w:t>补贴</w:t>
      </w:r>
      <w:r>
        <w:rPr>
          <w:rFonts w:ascii="仿宋" w:hAnsi="仿宋" w:eastAsia="仿宋" w:cs="仿宋"/>
          <w:color w:val="auto"/>
          <w:kern w:val="0"/>
          <w:sz w:val="32"/>
          <w:szCs w:val="32"/>
          <w:highlight w:val="none"/>
          <w:lang w:bidi="ar"/>
        </w:rPr>
        <w:t>条款所涉及的所有财务数据，均须经有资质的会计师事务所审计。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 w:hAnsi="仿宋" w:eastAsia="仿宋" w:cs="仿宋"/>
          <w:color w:val="auto"/>
          <w:kern w:val="0"/>
          <w:sz w:val="32"/>
          <w:szCs w:val="32"/>
          <w:highlight w:val="none"/>
          <w:lang w:bidi="ar"/>
        </w:rPr>
      </w:pPr>
      <w:r>
        <w:rPr>
          <w:rFonts w:hint="eastAsia" w:ascii="楷体" w:hAnsi="楷体" w:eastAsia="楷体" w:cs="黑体"/>
          <w:b/>
          <w:color w:val="auto"/>
          <w:sz w:val="32"/>
          <w:szCs w:val="32"/>
          <w:highlight w:val="none"/>
        </w:rPr>
        <w:t>第</w:t>
      </w:r>
      <w:r>
        <w:rPr>
          <w:rFonts w:hint="eastAsia" w:ascii="楷体" w:hAnsi="楷体" w:eastAsia="楷体" w:cs="黑体"/>
          <w:b/>
          <w:color w:val="auto"/>
          <w:sz w:val="32"/>
          <w:szCs w:val="32"/>
          <w:highlight w:val="none"/>
          <w:lang w:val="en-US" w:eastAsia="zh-CN"/>
        </w:rPr>
        <w:t>十四</w:t>
      </w:r>
      <w:r>
        <w:rPr>
          <w:rFonts w:hint="eastAsia" w:ascii="楷体" w:hAnsi="楷体" w:eastAsia="楷体" w:cs="黑体"/>
          <w:b/>
          <w:color w:val="auto"/>
          <w:sz w:val="32"/>
          <w:szCs w:val="32"/>
          <w:highlight w:val="none"/>
        </w:rPr>
        <w:t>条</w:t>
      </w:r>
      <w:r>
        <w:rPr>
          <w:rFonts w:ascii="楷体" w:hAnsi="楷体" w:eastAsia="楷体" w:cs="黑体"/>
          <w:b/>
          <w:color w:val="auto"/>
          <w:sz w:val="32"/>
          <w:szCs w:val="32"/>
          <w:highlight w:val="none"/>
        </w:rPr>
        <w:t xml:space="preserve"> </w:t>
      </w:r>
      <w:r>
        <w:rPr>
          <w:rFonts w:ascii="仿宋" w:hAnsi="仿宋" w:eastAsia="仿宋" w:cs="仿宋"/>
          <w:color w:val="auto"/>
          <w:kern w:val="0"/>
          <w:sz w:val="32"/>
          <w:szCs w:val="32"/>
          <w:highlight w:val="none"/>
          <w:lang w:bidi="ar"/>
        </w:rPr>
        <w:t>本</w:t>
      </w:r>
      <w:r>
        <w:rPr>
          <w:rFonts w:hint="eastAsia" w:ascii="仿宋" w:hAnsi="仿宋" w:eastAsia="仿宋" w:cs="仿宋"/>
          <w:color w:val="auto"/>
          <w:kern w:val="0"/>
          <w:sz w:val="32"/>
          <w:szCs w:val="32"/>
          <w:highlight w:val="none"/>
          <w:lang w:val="en-US" w:eastAsia="zh-CN" w:bidi="ar"/>
        </w:rPr>
        <w:t>办法</w:t>
      </w:r>
      <w:r>
        <w:rPr>
          <w:rFonts w:ascii="仿宋" w:hAnsi="仿宋" w:eastAsia="仿宋" w:cs="仿宋"/>
          <w:color w:val="auto"/>
          <w:kern w:val="0"/>
          <w:sz w:val="32"/>
          <w:szCs w:val="32"/>
          <w:highlight w:val="none"/>
          <w:lang w:bidi="ar"/>
        </w:rPr>
        <w:t>有效期自印发之日起，有效期</w:t>
      </w:r>
      <w:r>
        <w:rPr>
          <w:rFonts w:hint="eastAsia" w:ascii="仿宋" w:hAnsi="仿宋" w:eastAsia="仿宋" w:cs="仿宋"/>
          <w:color w:val="auto"/>
          <w:kern w:val="0"/>
          <w:sz w:val="32"/>
          <w:szCs w:val="32"/>
          <w:highlight w:val="none"/>
          <w:lang w:val="en-US" w:eastAsia="zh-CN" w:bidi="ar"/>
        </w:rPr>
        <w:t>截止至2026年6月29日。</w:t>
      </w:r>
      <w:r>
        <w:rPr>
          <w:rFonts w:hint="eastAsia" w:ascii="仿宋" w:hAnsi="仿宋" w:eastAsia="仿宋" w:cs="仿宋"/>
          <w:color w:val="auto"/>
          <w:kern w:val="0"/>
          <w:sz w:val="32"/>
          <w:szCs w:val="32"/>
          <w:highlight w:val="none"/>
          <w:lang w:val="en-US" w:eastAsia="zh-CN" w:bidi="ar"/>
        </w:rPr>
        <w:t>本办法有效期内申请补贴的企业，在本办法到期后，涉及连续扶持的条款延续至扶持完毕。本办法引用其他政策的条款均</w:t>
      </w:r>
      <w:bookmarkStart w:id="1" w:name="_GoBack"/>
      <w:bookmarkEnd w:id="1"/>
      <w:r>
        <w:rPr>
          <w:rFonts w:hint="eastAsia" w:ascii="仿宋" w:hAnsi="仿宋" w:eastAsia="仿宋" w:cs="仿宋"/>
          <w:color w:val="auto"/>
          <w:kern w:val="0"/>
          <w:sz w:val="32"/>
          <w:szCs w:val="32"/>
          <w:highlight w:val="none"/>
          <w:lang w:val="en-US" w:eastAsia="zh-CN" w:bidi="ar"/>
        </w:rPr>
        <w:t>按原政策执行。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kern w:val="0"/>
          <w:sz w:val="32"/>
          <w:szCs w:val="32"/>
          <w:lang w:val="en-US" w:eastAsia="zh-CN" w:bidi="ar"/>
        </w:rPr>
      </w:pPr>
      <w:r>
        <w:rPr>
          <w:rFonts w:hint="eastAsia" w:ascii="楷体" w:hAnsi="楷体" w:eastAsia="楷体" w:cs="黑体"/>
          <w:b/>
          <w:color w:val="auto"/>
          <w:sz w:val="32"/>
          <w:szCs w:val="32"/>
          <w:highlight w:val="none"/>
        </w:rPr>
        <w:t>第十</w:t>
      </w:r>
      <w:r>
        <w:rPr>
          <w:rFonts w:hint="eastAsia" w:ascii="楷体" w:hAnsi="楷体" w:eastAsia="楷体" w:cs="黑体"/>
          <w:b/>
          <w:color w:val="auto"/>
          <w:sz w:val="32"/>
          <w:szCs w:val="32"/>
          <w:highlight w:val="none"/>
          <w:lang w:val="en-US" w:eastAsia="zh-CN"/>
        </w:rPr>
        <w:t>五</w:t>
      </w:r>
      <w:r>
        <w:rPr>
          <w:rFonts w:hint="eastAsia" w:ascii="楷体" w:hAnsi="楷体" w:eastAsia="楷体" w:cs="黑体"/>
          <w:b/>
          <w:color w:val="auto"/>
          <w:sz w:val="32"/>
          <w:szCs w:val="32"/>
          <w:highlight w:val="none"/>
        </w:rPr>
        <w:t>条</w:t>
      </w:r>
      <w:r>
        <w:rPr>
          <w:rFonts w:ascii="楷体" w:hAnsi="楷体" w:eastAsia="楷体" w:cs="黑体"/>
          <w:b/>
          <w:color w:val="auto"/>
          <w:sz w:val="32"/>
          <w:szCs w:val="32"/>
          <w:highlight w:val="none"/>
        </w:rPr>
        <w:t xml:space="preserve"> </w:t>
      </w:r>
      <w:r>
        <w:rPr>
          <w:rFonts w:ascii="仿宋" w:hAnsi="仿宋" w:eastAsia="仿宋" w:cs="仿宋"/>
          <w:color w:val="auto"/>
          <w:kern w:val="0"/>
          <w:sz w:val="32"/>
          <w:szCs w:val="32"/>
          <w:highlight w:val="none"/>
          <w:lang w:bidi="ar"/>
        </w:rPr>
        <w:t>本</w:t>
      </w:r>
      <w:r>
        <w:rPr>
          <w:rFonts w:hint="eastAsia" w:ascii="仿宋" w:hAnsi="仿宋" w:eastAsia="仿宋" w:cs="仿宋"/>
          <w:color w:val="auto"/>
          <w:kern w:val="0"/>
          <w:sz w:val="32"/>
          <w:szCs w:val="32"/>
          <w:highlight w:val="none"/>
          <w:lang w:val="en-US" w:eastAsia="zh-CN" w:bidi="ar"/>
        </w:rPr>
        <w:t>办法</w:t>
      </w:r>
      <w:r>
        <w:rPr>
          <w:rFonts w:ascii="仿宋" w:hAnsi="仿宋" w:eastAsia="仿宋" w:cs="仿宋"/>
          <w:color w:val="auto"/>
          <w:kern w:val="0"/>
          <w:sz w:val="32"/>
          <w:szCs w:val="32"/>
          <w:highlight w:val="none"/>
          <w:lang w:bidi="ar"/>
        </w:rPr>
        <w:t>由区</w:t>
      </w:r>
      <w:r>
        <w:rPr>
          <w:rFonts w:hint="eastAsia" w:ascii="仿宋" w:hAnsi="仿宋" w:eastAsia="仿宋" w:cs="仿宋"/>
          <w:color w:val="auto"/>
          <w:kern w:val="0"/>
          <w:sz w:val="32"/>
          <w:szCs w:val="32"/>
          <w:highlight w:val="none"/>
          <w:lang w:val="en-US" w:eastAsia="zh-CN" w:bidi="ar"/>
        </w:rPr>
        <w:t>发展和改革</w:t>
      </w:r>
      <w:r>
        <w:rPr>
          <w:rFonts w:hint="eastAsia" w:ascii="仿宋" w:hAnsi="仿宋" w:eastAsia="仿宋" w:cs="仿宋"/>
          <w:color w:val="auto"/>
          <w:kern w:val="0"/>
          <w:sz w:val="32"/>
          <w:szCs w:val="32"/>
          <w:lang w:val="en-US" w:eastAsia="zh-CN" w:bidi="ar"/>
        </w:rPr>
        <w:t>局</w:t>
      </w:r>
      <w:r>
        <w:rPr>
          <w:rFonts w:ascii="仿宋" w:hAnsi="仿宋" w:eastAsia="仿宋" w:cs="仿宋"/>
          <w:color w:val="auto"/>
          <w:kern w:val="0"/>
          <w:sz w:val="32"/>
          <w:szCs w:val="32"/>
          <w:lang w:bidi="ar"/>
        </w:rPr>
        <w:t>负责解释</w:t>
      </w:r>
      <w:r>
        <w:rPr>
          <w:rFonts w:hint="eastAsia" w:ascii="仿宋" w:hAnsi="仿宋" w:eastAsia="仿宋" w:cs="仿宋"/>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 xml:space="preserve">附件：佛山市南海新型储能电站扶持补贴申请表    </w:t>
      </w:r>
      <w:r>
        <w:rPr>
          <w:rFonts w:hint="eastAsia" w:ascii="仿宋_GB2312" w:hAnsi="仿宋_GB2312" w:eastAsia="仿宋_GB2312" w:cs="仿宋_GB2312"/>
          <w:color w:val="auto"/>
          <w:sz w:val="32"/>
          <w:szCs w:val="32"/>
          <w:lang w:val="en-US" w:eastAsia="zh-CN"/>
        </w:rPr>
        <w:t xml:space="preserve">  </w:t>
      </w:r>
    </w:p>
    <w:p>
      <w:pPr>
        <w:pStyle w:val="14"/>
        <w:rPr>
          <w:rFonts w:hint="eastAsia"/>
          <w:color w:val="auto"/>
          <w:lang w:val="en-US" w:eastAsia="zh-CN"/>
        </w:rPr>
      </w:pPr>
    </w:p>
    <w:p>
      <w:pPr>
        <w:pStyle w:val="3"/>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color w:val="auto"/>
          <w:sz w:val="32"/>
          <w:szCs w:val="32"/>
          <w:lang w:val="en-US" w:eastAsia="zh-CN"/>
        </w:rPr>
        <w:br w:type="page"/>
      </w:r>
      <w:bookmarkStart w:id="0" w:name="OLE_LINK2"/>
      <w:r>
        <w:rPr>
          <w:rFonts w:hint="eastAsia" w:ascii="黑体" w:hAnsi="黑体" w:eastAsia="黑体" w:cs="黑体"/>
          <w:b w:val="0"/>
          <w:bCs w:val="0"/>
          <w:color w:val="auto"/>
          <w:spacing w:val="0"/>
          <w:kern w:val="2"/>
          <w:sz w:val="32"/>
          <w:szCs w:val="32"/>
          <w:lang w:val="en-US" w:eastAsia="zh-CN"/>
        </w:rPr>
        <w:t>附件</w:t>
      </w:r>
      <w:bookmarkEnd w:id="0"/>
    </w:p>
    <w:tbl>
      <w:tblPr>
        <w:tblStyle w:val="7"/>
        <w:tblpPr w:leftFromText="180" w:rightFromText="180" w:vertAnchor="text" w:horzAnchor="page" w:tblpX="971" w:tblpY="179"/>
        <w:tblOverlap w:val="never"/>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23"/>
        <w:gridCol w:w="3345"/>
        <w:gridCol w:w="732"/>
        <w:gridCol w:w="783"/>
        <w:gridCol w:w="297"/>
        <w:gridCol w:w="3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9720" w:type="dxa"/>
            <w:gridSpan w:val="6"/>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ascii="方正小标宋简体" w:hAnsi="方正小标宋简体" w:eastAsia="方正小标宋简体" w:cs="方正小标宋简体"/>
                <w:i w:val="0"/>
                <w:color w:val="auto"/>
                <w:sz w:val="40"/>
                <w:szCs w:val="40"/>
                <w:u w:val="none"/>
              </w:rPr>
            </w:pPr>
            <w:r>
              <w:rPr>
                <w:rFonts w:hint="eastAsia" w:ascii="方正小标宋简体" w:hAnsi="方正小标宋简体" w:eastAsia="方正小标宋简体" w:cs="方正小标宋简体"/>
                <w:i w:val="0"/>
                <w:color w:val="auto"/>
                <w:kern w:val="0"/>
                <w:sz w:val="36"/>
                <w:szCs w:val="36"/>
                <w:u w:val="none"/>
                <w:lang w:val="en-US" w:eastAsia="zh-CN" w:bidi="ar"/>
              </w:rPr>
              <w:t>佛山市南海区新型储能电站扶持补贴申请表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9720" w:type="dxa"/>
            <w:gridSpan w:val="6"/>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both"/>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 xml:space="preserve">                                                   填报日期：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b/>
                <w:i w:val="0"/>
                <w:color w:val="auto"/>
                <w:sz w:val="22"/>
                <w:szCs w:val="22"/>
                <w:u w:val="none"/>
              </w:rPr>
            </w:pPr>
            <w:r>
              <w:rPr>
                <w:rFonts w:hint="eastAsia" w:ascii="宋体" w:hAnsi="宋体" w:cs="宋体"/>
                <w:b/>
                <w:i w:val="0"/>
                <w:color w:val="auto"/>
                <w:kern w:val="0"/>
                <w:sz w:val="22"/>
                <w:szCs w:val="22"/>
                <w:u w:val="none"/>
                <w:lang w:val="en-US" w:eastAsia="zh-CN" w:bidi="ar"/>
              </w:rPr>
              <w:t>企业</w:t>
            </w:r>
            <w:r>
              <w:rPr>
                <w:rFonts w:hint="eastAsia" w:ascii="宋体" w:hAnsi="宋体" w:eastAsia="宋体" w:cs="宋体"/>
                <w:b/>
                <w:i w:val="0"/>
                <w:color w:val="auto"/>
                <w:kern w:val="0"/>
                <w:sz w:val="22"/>
                <w:szCs w:val="22"/>
                <w:u w:val="none"/>
                <w:lang w:val="en-US" w:eastAsia="zh-CN" w:bidi="ar"/>
              </w:rPr>
              <w:t>名称</w:t>
            </w:r>
          </w:p>
        </w:tc>
        <w:tc>
          <w:tcPr>
            <w:tcW w:w="83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outlineLvl w:val="9"/>
              <w:rPr>
                <w:rFonts w:hint="eastAsia" w:ascii="宋体" w:hAnsi="宋体" w:eastAsia="宋体" w:cs="宋体"/>
                <w:b/>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1323"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统一社会</w:t>
            </w:r>
            <w:r>
              <w:rPr>
                <w:rFonts w:hint="eastAsia" w:ascii="宋体" w:hAnsi="宋体" w:eastAsia="宋体" w:cs="宋体"/>
                <w:b/>
                <w:i w:val="0"/>
                <w:color w:val="auto"/>
                <w:kern w:val="0"/>
                <w:sz w:val="22"/>
                <w:szCs w:val="22"/>
                <w:u w:val="none"/>
                <w:lang w:val="en-US" w:eastAsia="zh-CN" w:bidi="ar"/>
              </w:rPr>
              <w:br w:type="textWrapping"/>
            </w:r>
            <w:r>
              <w:rPr>
                <w:rFonts w:hint="eastAsia" w:ascii="宋体" w:hAnsi="宋体" w:eastAsia="宋体" w:cs="宋体"/>
                <w:b/>
                <w:i w:val="0"/>
                <w:color w:val="auto"/>
                <w:kern w:val="0"/>
                <w:sz w:val="22"/>
                <w:szCs w:val="22"/>
                <w:u w:val="none"/>
                <w:lang w:val="en-US" w:eastAsia="zh-CN" w:bidi="ar"/>
              </w:rPr>
              <w:t>信用代码</w:t>
            </w:r>
          </w:p>
        </w:tc>
        <w:tc>
          <w:tcPr>
            <w:tcW w:w="4077"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outlineLvl w:val="9"/>
              <w:rPr>
                <w:rFonts w:hint="eastAsia" w:ascii="宋体" w:hAnsi="宋体" w:eastAsia="宋体" w:cs="宋体"/>
                <w:i w:val="0"/>
                <w:color w:val="auto"/>
                <w:sz w:val="22"/>
                <w:szCs w:val="22"/>
                <w:u w:val="none"/>
              </w:rPr>
            </w:pPr>
          </w:p>
        </w:tc>
        <w:tc>
          <w:tcPr>
            <w:tcW w:w="1080" w:type="dxa"/>
            <w:gridSpan w:val="2"/>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所在镇</w:t>
            </w:r>
            <w:r>
              <w:rPr>
                <w:rFonts w:hint="eastAsia" w:ascii="宋体" w:hAnsi="宋体" w:eastAsia="宋体" w:cs="宋体"/>
                <w:b/>
                <w:i w:val="0"/>
                <w:color w:val="auto"/>
                <w:kern w:val="0"/>
                <w:sz w:val="22"/>
                <w:szCs w:val="22"/>
                <w:u w:val="none"/>
                <w:lang w:val="en-US" w:eastAsia="zh-CN" w:bidi="ar"/>
              </w:rPr>
              <w:br w:type="textWrapping"/>
            </w:r>
            <w:r>
              <w:rPr>
                <w:rFonts w:hint="eastAsia" w:ascii="宋体" w:hAnsi="宋体" w:eastAsia="宋体" w:cs="宋体"/>
                <w:b/>
                <w:i w:val="0"/>
                <w:color w:val="auto"/>
                <w:kern w:val="0"/>
                <w:sz w:val="22"/>
                <w:szCs w:val="22"/>
                <w:u w:val="none"/>
                <w:lang w:val="en-US" w:eastAsia="zh-CN" w:bidi="ar"/>
              </w:rPr>
              <w:t>（街道）</w:t>
            </w:r>
          </w:p>
        </w:tc>
        <w:tc>
          <w:tcPr>
            <w:tcW w:w="3240"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outlineLvl w:val="9"/>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法人代表</w:t>
            </w:r>
          </w:p>
        </w:tc>
        <w:tc>
          <w:tcPr>
            <w:tcW w:w="407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outlineLvl w:val="9"/>
              <w:rPr>
                <w:rFonts w:hint="eastAsia" w:ascii="宋体" w:hAnsi="宋体" w:eastAsia="宋体" w:cs="宋体"/>
                <w:i w:val="0"/>
                <w:color w:val="auto"/>
                <w:sz w:val="24"/>
                <w:szCs w:val="24"/>
                <w:u w:val="none"/>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移动电话</w:t>
            </w:r>
          </w:p>
        </w:tc>
        <w:tc>
          <w:tcPr>
            <w:tcW w:w="3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outlineLvl w:val="9"/>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联系人</w:t>
            </w:r>
          </w:p>
        </w:tc>
        <w:tc>
          <w:tcPr>
            <w:tcW w:w="407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outlineLvl w:val="9"/>
              <w:rPr>
                <w:rFonts w:hint="eastAsia" w:ascii="宋体" w:hAnsi="宋体" w:eastAsia="宋体" w:cs="宋体"/>
                <w:i w:val="0"/>
                <w:color w:val="auto"/>
                <w:sz w:val="24"/>
                <w:szCs w:val="24"/>
                <w:u w:val="none"/>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移动电话</w:t>
            </w:r>
          </w:p>
        </w:tc>
        <w:tc>
          <w:tcPr>
            <w:tcW w:w="3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outlineLvl w:val="9"/>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1323"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申请</w:t>
            </w: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cs="宋体"/>
                <w:b/>
                <w:i w:val="0"/>
                <w:color w:val="auto"/>
                <w:kern w:val="0"/>
                <w:sz w:val="22"/>
                <w:szCs w:val="22"/>
                <w:u w:val="none"/>
                <w:lang w:val="en-US" w:eastAsia="zh-CN" w:bidi="ar"/>
              </w:rPr>
              <w:t>专项名称</w:t>
            </w:r>
          </w:p>
        </w:tc>
        <w:tc>
          <w:tcPr>
            <w:tcW w:w="83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i w:val="0"/>
                <w:color w:val="auto"/>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1323"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cs="宋体"/>
                <w:b/>
                <w:i w:val="0"/>
                <w:color w:val="auto"/>
                <w:kern w:val="0"/>
                <w:sz w:val="22"/>
                <w:szCs w:val="22"/>
                <w:u w:val="none"/>
                <w:lang w:val="en-US" w:eastAsia="zh-CN" w:bidi="ar"/>
              </w:rPr>
            </w:pPr>
            <w:r>
              <w:rPr>
                <w:rFonts w:hint="eastAsia" w:ascii="宋体" w:hAnsi="宋体" w:cs="宋体"/>
                <w:b/>
                <w:i w:val="0"/>
                <w:color w:val="auto"/>
                <w:kern w:val="0"/>
                <w:sz w:val="22"/>
                <w:szCs w:val="22"/>
                <w:u w:val="none"/>
                <w:lang w:val="en-US" w:eastAsia="zh-CN" w:bidi="ar"/>
              </w:rPr>
              <w:t>申请金额</w:t>
            </w:r>
          </w:p>
        </w:tc>
        <w:tc>
          <w:tcPr>
            <w:tcW w:w="83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 xml:space="preserve"> </w:t>
            </w:r>
            <w:r>
              <w:rPr>
                <w:rFonts w:hint="eastAsia" w:ascii="宋体" w:hAnsi="宋体" w:cs="宋体"/>
                <w:i w:val="0"/>
                <w:color w:val="auto"/>
                <w:sz w:val="22"/>
                <w:szCs w:val="22"/>
                <w:u w:val="single"/>
                <w:lang w:val="en-US" w:eastAsia="zh-CN"/>
              </w:rPr>
              <w:t xml:space="preserve">             </w:t>
            </w:r>
            <w:r>
              <w:rPr>
                <w:rFonts w:hint="eastAsia" w:ascii="宋体" w:hAnsi="宋体" w:cs="宋体"/>
                <w:i w:val="0"/>
                <w:color w:val="auto"/>
                <w:sz w:val="22"/>
                <w:szCs w:val="22"/>
                <w:u w:val="none"/>
                <w:lang w:val="en-US" w:eastAsia="zh-CN"/>
              </w:rPr>
              <w:t>万元（以审核部门核定为准）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 w:hRule="atLeast"/>
        </w:trPr>
        <w:tc>
          <w:tcPr>
            <w:tcW w:w="1323" w:type="dxa"/>
            <w:vMerge w:val="restart"/>
            <w:tcBorders>
              <w:top w:val="single" w:color="000000" w:sz="4" w:space="0"/>
              <w:left w:val="single" w:color="000000" w:sz="4" w:space="0"/>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申报承诺书</w:t>
            </w:r>
          </w:p>
        </w:tc>
        <w:tc>
          <w:tcPr>
            <w:tcW w:w="8397" w:type="dxa"/>
            <w:gridSpan w:val="5"/>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outlineLvl w:val="9"/>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23" w:type="dxa"/>
            <w:vMerge w:val="continue"/>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outlineLvl w:val="9"/>
              <w:rPr>
                <w:rFonts w:hint="eastAsia" w:ascii="宋体" w:hAnsi="宋体" w:eastAsia="宋体" w:cs="宋体"/>
                <w:b/>
                <w:i w:val="0"/>
                <w:color w:val="auto"/>
                <w:sz w:val="22"/>
                <w:szCs w:val="22"/>
                <w:u w:val="none"/>
              </w:rPr>
            </w:pPr>
          </w:p>
        </w:tc>
        <w:tc>
          <w:tcPr>
            <w:tcW w:w="8397" w:type="dxa"/>
            <w:gridSpan w:val="5"/>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 xml:space="preserve">    我单位对申报佛山市南海区</w:t>
            </w:r>
            <w:r>
              <w:rPr>
                <w:rFonts w:hint="eastAsia" w:ascii="宋体" w:hAnsi="宋体" w:cs="宋体"/>
                <w:b/>
                <w:i w:val="0"/>
                <w:color w:val="auto"/>
                <w:kern w:val="0"/>
                <w:sz w:val="22"/>
                <w:szCs w:val="22"/>
                <w:u w:val="none"/>
                <w:lang w:val="en-US" w:eastAsia="zh-CN" w:bidi="ar"/>
              </w:rPr>
              <w:t>新型储能</w:t>
            </w:r>
            <w:r>
              <w:rPr>
                <w:rFonts w:hint="eastAsia" w:ascii="宋体" w:hAnsi="宋体" w:eastAsia="宋体" w:cs="宋体"/>
                <w:b/>
                <w:i w:val="0"/>
                <w:color w:val="auto"/>
                <w:kern w:val="0"/>
                <w:sz w:val="22"/>
                <w:szCs w:val="22"/>
                <w:u w:val="none"/>
                <w:lang w:val="en-US" w:eastAsia="zh-CN" w:bidi="ar"/>
              </w:rPr>
              <w:t>扶持</w:t>
            </w:r>
            <w:r>
              <w:rPr>
                <w:rFonts w:hint="eastAsia" w:ascii="宋体" w:hAnsi="宋体" w:cs="宋体"/>
                <w:b/>
                <w:i w:val="0"/>
                <w:color w:val="auto"/>
                <w:kern w:val="0"/>
                <w:sz w:val="22"/>
                <w:szCs w:val="22"/>
                <w:u w:val="none"/>
                <w:lang w:val="en-US" w:eastAsia="zh-CN" w:bidi="ar"/>
              </w:rPr>
              <w:t>补贴</w:t>
            </w:r>
            <w:r>
              <w:rPr>
                <w:rFonts w:hint="eastAsia" w:ascii="宋体" w:hAnsi="宋体" w:eastAsia="宋体" w:cs="宋体"/>
                <w:b/>
                <w:i w:val="0"/>
                <w:color w:val="auto"/>
                <w:kern w:val="0"/>
                <w:sz w:val="22"/>
                <w:szCs w:val="22"/>
                <w:u w:val="none"/>
                <w:lang w:val="en-US" w:eastAsia="zh-CN" w:bidi="ar"/>
              </w:rPr>
              <w:t>作出承诺如下：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23" w:type="dxa"/>
            <w:vMerge w:val="continue"/>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outlineLvl w:val="9"/>
              <w:rPr>
                <w:rFonts w:hint="eastAsia" w:ascii="宋体" w:hAnsi="宋体" w:eastAsia="宋体" w:cs="宋体"/>
                <w:b/>
                <w:i w:val="0"/>
                <w:color w:val="auto"/>
                <w:sz w:val="22"/>
                <w:szCs w:val="22"/>
                <w:u w:val="none"/>
              </w:rPr>
            </w:pPr>
          </w:p>
        </w:tc>
        <w:tc>
          <w:tcPr>
            <w:tcW w:w="8397" w:type="dxa"/>
            <w:gridSpan w:val="5"/>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 xml:space="preserve">    一、</w:t>
            </w:r>
            <w:r>
              <w:rPr>
                <w:rStyle w:val="15"/>
                <w:color w:val="auto"/>
                <w:lang w:val="en-US" w:eastAsia="zh-CN" w:bidi="ar"/>
              </w:rPr>
              <w:t>对本申报材料的真实性负责，对申报资格和申报条件的符合性负责；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23" w:type="dxa"/>
            <w:vMerge w:val="continue"/>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outlineLvl w:val="9"/>
              <w:rPr>
                <w:rFonts w:hint="eastAsia" w:ascii="宋体" w:hAnsi="宋体" w:eastAsia="宋体" w:cs="宋体"/>
                <w:b/>
                <w:i w:val="0"/>
                <w:color w:val="auto"/>
                <w:sz w:val="22"/>
                <w:szCs w:val="22"/>
                <w:u w:val="none"/>
              </w:rPr>
            </w:pPr>
          </w:p>
        </w:tc>
        <w:tc>
          <w:tcPr>
            <w:tcW w:w="8397" w:type="dxa"/>
            <w:gridSpan w:val="5"/>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w:t>
            </w:r>
            <w:r>
              <w:rPr>
                <w:rStyle w:val="15"/>
                <w:rFonts w:hint="eastAsia"/>
                <w:color w:val="auto"/>
                <w:lang w:val="en-US" w:eastAsia="zh-CN" w:bidi="ar"/>
              </w:rPr>
              <w:t xml:space="preserve">   二、我单位未被纳入“信用中国（佛山）”地方黑名单或南海区信用全链条严重失信记录名单；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23" w:type="dxa"/>
            <w:vMerge w:val="continue"/>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outlineLvl w:val="9"/>
              <w:rPr>
                <w:rFonts w:hint="eastAsia" w:ascii="宋体" w:hAnsi="宋体" w:eastAsia="宋体" w:cs="宋体"/>
                <w:b/>
                <w:i w:val="0"/>
                <w:color w:val="auto"/>
                <w:sz w:val="22"/>
                <w:szCs w:val="22"/>
                <w:u w:val="none"/>
              </w:rPr>
            </w:pPr>
          </w:p>
        </w:tc>
        <w:tc>
          <w:tcPr>
            <w:tcW w:w="8397" w:type="dxa"/>
            <w:gridSpan w:val="5"/>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三、如获得奖励资金支持，愿意接受</w:t>
            </w:r>
            <w:r>
              <w:rPr>
                <w:rFonts w:hint="eastAsia" w:ascii="宋体" w:hAnsi="宋体" w:cs="宋体"/>
                <w:i w:val="0"/>
                <w:color w:val="auto"/>
                <w:kern w:val="0"/>
                <w:sz w:val="22"/>
                <w:szCs w:val="22"/>
                <w:u w:val="none"/>
                <w:lang w:val="en-US" w:eastAsia="zh-CN" w:bidi="ar"/>
              </w:rPr>
              <w:t>发展和改革、</w:t>
            </w:r>
            <w:r>
              <w:rPr>
                <w:rFonts w:hint="eastAsia" w:ascii="宋体" w:hAnsi="宋体" w:eastAsia="宋体" w:cs="宋体"/>
                <w:i w:val="0"/>
                <w:color w:val="auto"/>
                <w:kern w:val="0"/>
                <w:sz w:val="22"/>
                <w:szCs w:val="22"/>
                <w:u w:val="none"/>
                <w:lang w:val="en-US" w:eastAsia="zh-CN" w:bidi="ar"/>
              </w:rPr>
              <w:t>财政、审计、经济促进、 统计等相关部门的监督检查。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23" w:type="dxa"/>
            <w:vMerge w:val="continue"/>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outlineLvl w:val="9"/>
              <w:rPr>
                <w:rFonts w:hint="eastAsia" w:ascii="宋体" w:hAnsi="宋体" w:eastAsia="宋体" w:cs="宋体"/>
                <w:b/>
                <w:i w:val="0"/>
                <w:color w:val="auto"/>
                <w:sz w:val="22"/>
                <w:szCs w:val="22"/>
                <w:u w:val="none"/>
              </w:rPr>
            </w:pPr>
          </w:p>
        </w:tc>
        <w:tc>
          <w:tcPr>
            <w:tcW w:w="8397" w:type="dxa"/>
            <w:gridSpan w:val="5"/>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如有违反上述承诺的失信行为，本单位同意退还奖励资金并愿意承担由此引发</w:t>
            </w:r>
            <w:r>
              <w:rPr>
                <w:rFonts w:hint="eastAsia" w:ascii="宋体" w:hAnsi="宋体" w:eastAsia="宋体" w:cs="宋体"/>
                <w:i w:val="0"/>
                <w:color w:val="auto"/>
                <w:kern w:val="0"/>
                <w:sz w:val="24"/>
                <w:szCs w:val="24"/>
                <w:u w:val="none"/>
                <w:lang w:val="en-US" w:eastAsia="zh-CN" w:bidi="ar"/>
              </w:rPr>
              <w:t>的全部责任。</w:t>
            </w:r>
            <w:r>
              <w:rPr>
                <w:rFonts w:hint="eastAsia" w:ascii="宋体" w:hAnsi="宋体" w:eastAsia="宋体" w:cs="宋体"/>
                <w:i w:val="0"/>
                <w:color w:val="auto"/>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1323" w:type="dxa"/>
            <w:vMerge w:val="continue"/>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outlineLvl w:val="9"/>
              <w:rPr>
                <w:rFonts w:hint="eastAsia" w:ascii="宋体" w:hAnsi="宋体" w:eastAsia="宋体" w:cs="宋体"/>
                <w:b/>
                <w:i w:val="0"/>
                <w:color w:val="auto"/>
                <w:sz w:val="22"/>
                <w:szCs w:val="22"/>
                <w:u w:val="none"/>
              </w:rPr>
            </w:pPr>
          </w:p>
        </w:tc>
        <w:tc>
          <w:tcPr>
            <w:tcW w:w="8397" w:type="dxa"/>
            <w:gridSpan w:val="5"/>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 xml:space="preserve"> </w:t>
            </w:r>
            <w:r>
              <w:rPr>
                <w:rFonts w:hint="eastAsia" w:ascii="宋体" w:hAnsi="宋体" w:cs="宋体"/>
                <w:b/>
                <w:i w:val="0"/>
                <w:color w:val="auto"/>
                <w:kern w:val="0"/>
                <w:sz w:val="22"/>
                <w:szCs w:val="22"/>
                <w:u w:val="none"/>
                <w:lang w:val="en-US" w:eastAsia="zh-CN" w:bidi="ar"/>
              </w:rPr>
              <w:t xml:space="preserve">                                    </w:t>
            </w:r>
            <w:r>
              <w:rPr>
                <w:rFonts w:hint="eastAsia" w:ascii="宋体" w:hAnsi="宋体" w:eastAsia="宋体" w:cs="宋体"/>
                <w:b/>
                <w:i w:val="0"/>
                <w:color w:val="auto"/>
                <w:kern w:val="0"/>
                <w:sz w:val="22"/>
                <w:szCs w:val="22"/>
                <w:u w:val="none"/>
                <w:lang w:val="en-US" w:eastAsia="zh-CN" w:bidi="ar"/>
              </w:rPr>
              <w:t xml:space="preserve">法人代表签名：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23" w:type="dxa"/>
            <w:vMerge w:val="continue"/>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outlineLvl w:val="9"/>
              <w:rPr>
                <w:rFonts w:hint="eastAsia" w:ascii="宋体" w:hAnsi="宋体" w:eastAsia="宋体" w:cs="宋体"/>
                <w:b/>
                <w:i w:val="0"/>
                <w:color w:val="auto"/>
                <w:sz w:val="22"/>
                <w:szCs w:val="22"/>
                <w:u w:val="none"/>
              </w:rPr>
            </w:pPr>
          </w:p>
        </w:tc>
        <w:tc>
          <w:tcPr>
            <w:tcW w:w="8397" w:type="dxa"/>
            <w:gridSpan w:val="5"/>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 xml:space="preserve">                                   </w:t>
            </w:r>
            <w:r>
              <w:rPr>
                <w:rFonts w:hint="eastAsia" w:ascii="宋体" w:hAnsi="宋体" w:cs="宋体"/>
                <w:b/>
                <w:i w:val="0"/>
                <w:color w:val="auto"/>
                <w:kern w:val="0"/>
                <w:sz w:val="22"/>
                <w:szCs w:val="22"/>
                <w:u w:val="none"/>
                <w:lang w:val="en-US" w:eastAsia="zh-CN" w:bidi="ar"/>
              </w:rPr>
              <w:t xml:space="preserve"> </w:t>
            </w:r>
            <w:r>
              <w:rPr>
                <w:rFonts w:hint="eastAsia" w:ascii="宋体" w:hAnsi="宋体" w:eastAsia="宋体" w:cs="宋体"/>
                <w:b/>
                <w:i w:val="0"/>
                <w:color w:val="auto"/>
                <w:kern w:val="0"/>
                <w:sz w:val="22"/>
                <w:szCs w:val="22"/>
                <w:u w:val="none"/>
                <w:lang w:val="en-US" w:eastAsia="zh-CN" w:bidi="ar"/>
              </w:rPr>
              <w:t xml:space="preserve"> 申报单位（盖章）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3"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b/>
                <w:i w:val="0"/>
                <w:color w:val="auto"/>
                <w:kern w:val="0"/>
                <w:sz w:val="22"/>
                <w:szCs w:val="22"/>
                <w:u w:val="none"/>
                <w:lang w:val="en-US" w:eastAsia="zh-CN" w:bidi="ar"/>
              </w:rPr>
            </w:pPr>
            <w:r>
              <w:rPr>
                <w:rFonts w:hint="eastAsia" w:ascii="宋体" w:hAnsi="宋体" w:cs="宋体"/>
                <w:b/>
                <w:i w:val="0"/>
                <w:color w:val="auto"/>
                <w:kern w:val="0"/>
                <w:sz w:val="22"/>
                <w:szCs w:val="22"/>
                <w:u w:val="none"/>
                <w:lang w:val="en-US" w:eastAsia="zh-CN" w:bidi="ar"/>
              </w:rPr>
              <w:t>镇（街道）经济发展办公室</w:t>
            </w:r>
            <w:r>
              <w:rPr>
                <w:rFonts w:hint="eastAsia" w:ascii="宋体" w:hAnsi="宋体" w:eastAsia="宋体" w:cs="宋体"/>
                <w:b/>
                <w:i w:val="0"/>
                <w:color w:val="auto"/>
                <w:kern w:val="0"/>
                <w:sz w:val="22"/>
                <w:szCs w:val="22"/>
                <w:u w:val="none"/>
                <w:lang w:val="en-US" w:eastAsia="zh-CN" w:bidi="ar"/>
              </w:rPr>
              <w:t>初审意见</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i w:val="0"/>
                <w:color w:val="auto"/>
                <w:kern w:val="0"/>
                <w:sz w:val="22"/>
                <w:szCs w:val="22"/>
                <w:u w:val="none"/>
                <w:lang w:val="en-US" w:eastAsia="zh-CN" w:bidi="ar"/>
              </w:rPr>
            </w:pPr>
          </w:p>
          <w:p>
            <w:pPr>
              <w:pStyle w:val="17"/>
              <w:widowControl/>
              <w:snapToGrid w:val="0"/>
              <w:ind w:firstLine="663" w:firstLineChars="300"/>
              <w:jc w:val="both"/>
              <w:rPr>
                <w:rFonts w:hint="eastAsia" w:ascii="宋体" w:hAnsi="宋体" w:eastAsia="宋体" w:cs="宋体"/>
                <w:b/>
                <w:i w:val="0"/>
                <w:color w:val="auto"/>
                <w:kern w:val="0"/>
                <w:sz w:val="22"/>
                <w:szCs w:val="22"/>
                <w:u w:val="none"/>
                <w:lang w:val="en-US" w:eastAsia="zh-CN" w:bidi="ar"/>
              </w:rPr>
            </w:pPr>
          </w:p>
          <w:p>
            <w:pPr>
              <w:pStyle w:val="17"/>
              <w:widowControl/>
              <w:snapToGrid w:val="0"/>
              <w:ind w:firstLine="663" w:firstLineChars="300"/>
              <w:jc w:val="both"/>
              <w:rPr>
                <w:rFonts w:hint="eastAsia" w:ascii="宋体" w:hAnsi="宋体" w:eastAsia="宋体" w:cs="宋体"/>
                <w:b/>
                <w:i w:val="0"/>
                <w:color w:val="auto"/>
                <w:kern w:val="0"/>
                <w:sz w:val="22"/>
                <w:szCs w:val="22"/>
                <w:u w:val="none"/>
                <w:lang w:val="en-US" w:eastAsia="zh-CN" w:bidi="ar"/>
              </w:rPr>
            </w:pPr>
          </w:p>
          <w:p>
            <w:pPr>
              <w:pStyle w:val="17"/>
              <w:widowControl/>
              <w:snapToGrid w:val="0"/>
              <w:ind w:firstLine="663" w:firstLineChars="300"/>
              <w:jc w:val="both"/>
              <w:rPr>
                <w:rFonts w:hint="eastAsia" w:ascii="宋体" w:hAnsi="宋体" w:eastAsia="宋体" w:cs="宋体"/>
                <w:b/>
                <w:i w:val="0"/>
                <w:color w:val="auto"/>
                <w:kern w:val="0"/>
                <w:sz w:val="22"/>
                <w:szCs w:val="22"/>
                <w:u w:val="none"/>
                <w:lang w:val="en-US" w:eastAsia="zh-CN" w:bidi="ar"/>
              </w:rPr>
            </w:pPr>
          </w:p>
          <w:p>
            <w:pPr>
              <w:pStyle w:val="17"/>
              <w:widowControl/>
              <w:snapToGrid w:val="0"/>
              <w:ind w:firstLine="663" w:firstLineChars="300"/>
              <w:jc w:val="both"/>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经办人：</w:t>
            </w:r>
          </w:p>
          <w:p>
            <w:pPr>
              <w:pStyle w:val="17"/>
              <w:widowControl/>
              <w:snapToGrid w:val="0"/>
              <w:jc w:val="center"/>
              <w:rPr>
                <w:rFonts w:hint="eastAsia" w:ascii="宋体" w:hAnsi="宋体" w:eastAsia="宋体" w:cs="宋体"/>
                <w:b/>
                <w:i w:val="0"/>
                <w:color w:val="auto"/>
                <w:kern w:val="0"/>
                <w:sz w:val="22"/>
                <w:szCs w:val="22"/>
                <w:u w:val="none"/>
                <w:lang w:val="en-US" w:eastAsia="zh-CN" w:bidi="ar"/>
              </w:rPr>
            </w:pPr>
          </w:p>
          <w:p>
            <w:pPr>
              <w:pStyle w:val="17"/>
              <w:widowControl/>
              <w:snapToGrid w:val="0"/>
              <w:jc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（盖 章）</w:t>
            </w:r>
          </w:p>
          <w:p>
            <w:pPr>
              <w:keepNext w:val="0"/>
              <w:keepLines w:val="0"/>
              <w:pageBreakBefore w:val="0"/>
              <w:widowControl/>
              <w:suppressLineNumbers w:val="0"/>
              <w:kinsoku/>
              <w:wordWrap/>
              <w:overflowPunct/>
              <w:topLinePunct w:val="0"/>
              <w:autoSpaceDE/>
              <w:autoSpaceDN/>
              <w:bidi w:val="0"/>
              <w:adjustRightInd/>
              <w:snapToGrid/>
              <w:spacing w:line="240" w:lineRule="atLeast"/>
              <w:ind w:left="439" w:leftChars="209" w:right="0" w:rightChars="0" w:firstLine="221" w:firstLineChars="100"/>
              <w:jc w:val="left"/>
              <w:textAlignment w:val="center"/>
              <w:outlineLvl w:val="9"/>
              <w:rPr>
                <w:rFonts w:hint="eastAsia" w:ascii="宋体" w:hAnsi="宋体" w:eastAsia="宋体" w:cs="宋体"/>
                <w:b/>
                <w:i w:val="0"/>
                <w:color w:val="auto"/>
                <w:kern w:val="0"/>
                <w:sz w:val="22"/>
                <w:szCs w:val="22"/>
                <w:u w:val="none"/>
                <w:lang w:val="en-US" w:eastAsia="zh-CN" w:bidi="ar"/>
              </w:rPr>
            </w:pPr>
            <w:r>
              <w:rPr>
                <w:rFonts w:hint="eastAsia" w:ascii="宋体" w:hAnsi="宋体" w:cs="宋体"/>
                <w:b/>
                <w:i w:val="0"/>
                <w:color w:val="auto"/>
                <w:kern w:val="0"/>
                <w:sz w:val="22"/>
                <w:szCs w:val="22"/>
                <w:u w:val="none"/>
                <w:lang w:val="en-US" w:eastAsia="zh-CN" w:bidi="ar"/>
              </w:rPr>
              <w:t>日期：</w:t>
            </w:r>
            <w:r>
              <w:rPr>
                <w:rFonts w:hint="eastAsia" w:ascii="宋体" w:hAnsi="宋体" w:eastAsia="宋体" w:cs="宋体"/>
                <w:b/>
                <w:i w:val="0"/>
                <w:color w:val="auto"/>
                <w:kern w:val="0"/>
                <w:sz w:val="22"/>
                <w:szCs w:val="22"/>
                <w:u w:val="none"/>
                <w:lang w:val="en-US" w:eastAsia="zh-CN" w:bidi="ar"/>
              </w:rPr>
              <w:t xml:space="preserve"> </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b/>
                <w:i w:val="0"/>
                <w:color w:val="auto"/>
                <w:kern w:val="0"/>
                <w:sz w:val="22"/>
                <w:szCs w:val="22"/>
                <w:u w:val="none"/>
                <w:lang w:val="en-US" w:eastAsia="zh-CN" w:bidi="ar"/>
              </w:rPr>
            </w:pPr>
            <w:r>
              <w:rPr>
                <w:rFonts w:hint="eastAsia" w:ascii="宋体" w:hAnsi="宋体" w:cs="宋体"/>
                <w:b/>
                <w:i w:val="0"/>
                <w:color w:val="auto"/>
                <w:kern w:val="0"/>
                <w:sz w:val="22"/>
                <w:szCs w:val="22"/>
                <w:u w:val="none"/>
                <w:lang w:val="en-US" w:eastAsia="zh-CN" w:bidi="ar"/>
              </w:rPr>
              <w:t>区相关部门审核意见</w:t>
            </w:r>
          </w:p>
        </w:tc>
        <w:tc>
          <w:tcPr>
            <w:tcW w:w="3537" w:type="dxa"/>
            <w:gridSpan w:val="2"/>
            <w:tcBorders>
              <w:top w:val="single" w:color="000000" w:sz="4" w:space="0"/>
              <w:left w:val="single" w:color="000000" w:sz="4" w:space="0"/>
              <w:bottom w:val="single" w:color="000000" w:sz="4" w:space="0"/>
              <w:right w:val="single" w:color="000000" w:sz="4" w:space="0"/>
            </w:tcBorders>
            <w:vAlign w:val="center"/>
          </w:tcPr>
          <w:p>
            <w:pPr>
              <w:pStyle w:val="17"/>
              <w:widowControl/>
              <w:snapToGrid w:val="0"/>
              <w:ind w:firstLine="663" w:firstLineChars="300"/>
              <w:jc w:val="both"/>
              <w:rPr>
                <w:rFonts w:hint="eastAsia" w:ascii="宋体" w:hAnsi="宋体" w:eastAsia="宋体" w:cs="宋体"/>
                <w:b/>
                <w:i w:val="0"/>
                <w:color w:val="auto"/>
                <w:kern w:val="0"/>
                <w:sz w:val="22"/>
                <w:szCs w:val="22"/>
                <w:u w:val="none"/>
                <w:lang w:val="en-US" w:eastAsia="zh-CN" w:bidi="ar"/>
              </w:rPr>
            </w:pPr>
          </w:p>
          <w:p>
            <w:pPr>
              <w:pStyle w:val="17"/>
              <w:widowControl/>
              <w:snapToGrid w:val="0"/>
              <w:ind w:firstLine="663" w:firstLineChars="300"/>
              <w:jc w:val="both"/>
              <w:rPr>
                <w:rFonts w:hint="eastAsia" w:ascii="宋体" w:hAnsi="宋体" w:eastAsia="宋体" w:cs="宋体"/>
                <w:b/>
                <w:i w:val="0"/>
                <w:color w:val="auto"/>
                <w:kern w:val="0"/>
                <w:sz w:val="22"/>
                <w:szCs w:val="22"/>
                <w:u w:val="none"/>
                <w:lang w:val="en-US" w:eastAsia="zh-CN" w:bidi="ar"/>
              </w:rPr>
            </w:pPr>
          </w:p>
          <w:p>
            <w:pPr>
              <w:pStyle w:val="17"/>
              <w:widowControl/>
              <w:snapToGrid w:val="0"/>
              <w:ind w:firstLine="663" w:firstLineChars="300"/>
              <w:jc w:val="both"/>
              <w:rPr>
                <w:rFonts w:hint="eastAsia" w:ascii="宋体" w:hAnsi="宋体" w:eastAsia="宋体" w:cs="宋体"/>
                <w:b/>
                <w:i w:val="0"/>
                <w:color w:val="auto"/>
                <w:kern w:val="0"/>
                <w:sz w:val="22"/>
                <w:szCs w:val="22"/>
                <w:u w:val="none"/>
                <w:lang w:val="en-US" w:eastAsia="zh-CN" w:bidi="ar"/>
              </w:rPr>
            </w:pPr>
          </w:p>
          <w:p>
            <w:pPr>
              <w:pStyle w:val="17"/>
              <w:widowControl/>
              <w:snapToGrid w:val="0"/>
              <w:ind w:firstLine="663" w:firstLineChars="300"/>
              <w:jc w:val="both"/>
              <w:rPr>
                <w:rFonts w:hint="eastAsia" w:ascii="宋体" w:hAnsi="宋体" w:eastAsia="宋体" w:cs="宋体"/>
                <w:b/>
                <w:i w:val="0"/>
                <w:color w:val="auto"/>
                <w:kern w:val="0"/>
                <w:sz w:val="22"/>
                <w:szCs w:val="22"/>
                <w:u w:val="none"/>
                <w:lang w:val="en-US" w:eastAsia="zh-CN" w:bidi="ar"/>
              </w:rPr>
            </w:pPr>
          </w:p>
          <w:p>
            <w:pPr>
              <w:pStyle w:val="17"/>
              <w:widowControl/>
              <w:snapToGrid w:val="0"/>
              <w:ind w:firstLine="663" w:firstLineChars="300"/>
              <w:jc w:val="both"/>
              <w:rPr>
                <w:rFonts w:hint="eastAsia" w:ascii="宋体" w:hAnsi="宋体" w:eastAsia="宋体" w:cs="宋体"/>
                <w:b/>
                <w:i w:val="0"/>
                <w:color w:val="auto"/>
                <w:kern w:val="0"/>
                <w:sz w:val="22"/>
                <w:szCs w:val="22"/>
                <w:u w:val="none"/>
                <w:lang w:val="en-US" w:eastAsia="zh-CN" w:bidi="ar"/>
              </w:rPr>
            </w:pPr>
          </w:p>
          <w:p>
            <w:pPr>
              <w:pStyle w:val="17"/>
              <w:widowControl/>
              <w:snapToGrid w:val="0"/>
              <w:ind w:firstLine="663" w:firstLineChars="300"/>
              <w:jc w:val="both"/>
              <w:rPr>
                <w:rFonts w:hint="eastAsia" w:ascii="宋体" w:hAnsi="宋体" w:eastAsia="宋体" w:cs="宋体"/>
                <w:b/>
                <w:i w:val="0"/>
                <w:color w:val="auto"/>
                <w:kern w:val="0"/>
                <w:sz w:val="22"/>
                <w:szCs w:val="22"/>
                <w:u w:val="none"/>
                <w:lang w:val="en-US" w:eastAsia="zh-CN" w:bidi="ar"/>
              </w:rPr>
            </w:pPr>
          </w:p>
          <w:p>
            <w:pPr>
              <w:pStyle w:val="17"/>
              <w:widowControl/>
              <w:snapToGrid w:val="0"/>
              <w:ind w:firstLine="663" w:firstLineChars="300"/>
              <w:jc w:val="both"/>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经办人：</w:t>
            </w:r>
          </w:p>
          <w:p>
            <w:pPr>
              <w:pStyle w:val="17"/>
              <w:widowControl/>
              <w:snapToGrid w:val="0"/>
              <w:jc w:val="center"/>
              <w:rPr>
                <w:rFonts w:hint="eastAsia" w:ascii="宋体" w:hAnsi="宋体" w:eastAsia="宋体" w:cs="宋体"/>
                <w:b/>
                <w:i w:val="0"/>
                <w:color w:val="auto"/>
                <w:kern w:val="0"/>
                <w:sz w:val="22"/>
                <w:szCs w:val="22"/>
                <w:u w:val="none"/>
                <w:lang w:val="en-US" w:eastAsia="zh-CN" w:bidi="ar"/>
              </w:rPr>
            </w:pPr>
          </w:p>
          <w:p>
            <w:pPr>
              <w:pStyle w:val="17"/>
              <w:widowControl/>
              <w:snapToGrid w:val="0"/>
              <w:jc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（盖 章）</w:t>
            </w: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663" w:firstLineChars="300"/>
              <w:jc w:val="left"/>
              <w:textAlignment w:val="center"/>
              <w:outlineLvl w:val="9"/>
              <w:rPr>
                <w:rFonts w:hint="eastAsia" w:ascii="宋体" w:hAnsi="宋体" w:eastAsia="宋体" w:cs="宋体"/>
                <w:b/>
                <w:i w:val="0"/>
                <w:color w:val="auto"/>
                <w:kern w:val="0"/>
                <w:sz w:val="22"/>
                <w:szCs w:val="22"/>
                <w:u w:val="none"/>
                <w:lang w:val="en-US" w:eastAsia="zh-CN" w:bidi="ar"/>
              </w:rPr>
            </w:pPr>
            <w:r>
              <w:rPr>
                <w:rFonts w:hint="eastAsia" w:ascii="宋体" w:hAnsi="宋体" w:cs="宋体"/>
                <w:b/>
                <w:i w:val="0"/>
                <w:color w:val="auto"/>
                <w:kern w:val="0"/>
                <w:sz w:val="22"/>
                <w:szCs w:val="22"/>
                <w:u w:val="none"/>
                <w:lang w:val="en-US" w:eastAsia="zh-CN" w:bidi="ar"/>
              </w:rPr>
              <w:t>日期：</w:t>
            </w:r>
            <w:r>
              <w:rPr>
                <w:rFonts w:hint="eastAsia" w:ascii="宋体" w:hAnsi="宋体" w:eastAsia="宋体" w:cs="宋体"/>
                <w:b/>
                <w:i w:val="0"/>
                <w:color w:val="auto"/>
                <w:kern w:val="0"/>
                <w:sz w:val="22"/>
                <w:szCs w:val="22"/>
                <w:u w:val="none"/>
                <w:lang w:val="en-US" w:eastAsia="zh-CN" w:bidi="ar"/>
              </w:rPr>
              <w:t xml:space="preserve"> </w:t>
            </w:r>
          </w:p>
        </w:tc>
      </w:tr>
    </w:tbl>
    <w:p>
      <w:pPr>
        <w:rPr>
          <w:color w:val="auto"/>
        </w:rPr>
      </w:pPr>
    </w:p>
    <w:sectPr>
      <w:headerReference r:id="rId3" w:type="default"/>
      <w:footerReference r:id="rId4" w:type="default"/>
      <w:pgSz w:w="11906" w:h="16838"/>
      <w:pgMar w:top="1417" w:right="1800" w:bottom="1417"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BD11F7-45BD-4A07-A94D-BC8C935740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EFF57809-5B83-46B6-876A-45998BD3BF56}"/>
  </w:font>
  <w:font w:name="方正小标宋简体">
    <w:panose1 w:val="02000000000000000000"/>
    <w:charset w:val="86"/>
    <w:family w:val="auto"/>
    <w:pitch w:val="default"/>
    <w:sig w:usb0="A00002BF" w:usb1="184F6CFA" w:usb2="00000012" w:usb3="00000000" w:csb0="00040001" w:csb1="00000000"/>
    <w:embedRegular r:id="rId3" w:fontKey="{79DBE731-FDD9-4769-9A60-C80750CD0B60}"/>
  </w:font>
  <w:font w:name="方正简体小标送">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embedRegular r:id="rId4" w:fontKey="{7ACB10A7-5D38-413E-B86E-6E3E1CF93C0F}"/>
  </w:font>
  <w:font w:name="仿宋">
    <w:panose1 w:val="02010609060101010101"/>
    <w:charset w:val="86"/>
    <w:family w:val="modern"/>
    <w:pitch w:val="default"/>
    <w:sig w:usb0="800002BF" w:usb1="38CF7CFA" w:usb2="00000016" w:usb3="00000000" w:csb0="00040001" w:csb1="00000000"/>
    <w:embedRegular r:id="rId5" w:fontKey="{D1B02BC4-D01D-482B-B6E3-517EC17B58DC}"/>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ZDRkMDAyMDY1Mjg5OWFkY2Q4ZWMxMWU4OTVlOGMifQ=="/>
  </w:docVars>
  <w:rsids>
    <w:rsidRoot w:val="4AFC7736"/>
    <w:rsid w:val="014B4820"/>
    <w:rsid w:val="018F7366"/>
    <w:rsid w:val="01944054"/>
    <w:rsid w:val="03104218"/>
    <w:rsid w:val="034019CF"/>
    <w:rsid w:val="037C0F2F"/>
    <w:rsid w:val="03FE7669"/>
    <w:rsid w:val="048B784F"/>
    <w:rsid w:val="058E42F5"/>
    <w:rsid w:val="065A4EDD"/>
    <w:rsid w:val="071D60E6"/>
    <w:rsid w:val="075306B2"/>
    <w:rsid w:val="0884692F"/>
    <w:rsid w:val="08C96823"/>
    <w:rsid w:val="09C876E9"/>
    <w:rsid w:val="0B7D4C12"/>
    <w:rsid w:val="0BF62522"/>
    <w:rsid w:val="0C976AF5"/>
    <w:rsid w:val="0CA727DC"/>
    <w:rsid w:val="0D824596"/>
    <w:rsid w:val="0DF075F2"/>
    <w:rsid w:val="0F863D0C"/>
    <w:rsid w:val="1007101D"/>
    <w:rsid w:val="1026671F"/>
    <w:rsid w:val="12050864"/>
    <w:rsid w:val="12142DFD"/>
    <w:rsid w:val="12957352"/>
    <w:rsid w:val="14006DCB"/>
    <w:rsid w:val="14882BC6"/>
    <w:rsid w:val="15243C35"/>
    <w:rsid w:val="15EB52F6"/>
    <w:rsid w:val="16684826"/>
    <w:rsid w:val="17AB2A4A"/>
    <w:rsid w:val="180A3204"/>
    <w:rsid w:val="18314C9E"/>
    <w:rsid w:val="19AD35F8"/>
    <w:rsid w:val="1ADA34CA"/>
    <w:rsid w:val="1AFE1BD7"/>
    <w:rsid w:val="1BF87B1D"/>
    <w:rsid w:val="1C8A749C"/>
    <w:rsid w:val="1CC076CA"/>
    <w:rsid w:val="1CD87951"/>
    <w:rsid w:val="1D4F1C2F"/>
    <w:rsid w:val="1DB975A9"/>
    <w:rsid w:val="1DF05184"/>
    <w:rsid w:val="1E086712"/>
    <w:rsid w:val="1E154C58"/>
    <w:rsid w:val="20FC779C"/>
    <w:rsid w:val="24404131"/>
    <w:rsid w:val="25911E41"/>
    <w:rsid w:val="25C16728"/>
    <w:rsid w:val="2609650F"/>
    <w:rsid w:val="263D0115"/>
    <w:rsid w:val="2641034F"/>
    <w:rsid w:val="26C87FEB"/>
    <w:rsid w:val="27A24C7A"/>
    <w:rsid w:val="28925031"/>
    <w:rsid w:val="29796EFE"/>
    <w:rsid w:val="2B7A4066"/>
    <w:rsid w:val="2BB6273B"/>
    <w:rsid w:val="2BDF5B80"/>
    <w:rsid w:val="2BEA7509"/>
    <w:rsid w:val="2DA13EBB"/>
    <w:rsid w:val="2DC154E5"/>
    <w:rsid w:val="2DF46D18"/>
    <w:rsid w:val="2E31548E"/>
    <w:rsid w:val="31F74858"/>
    <w:rsid w:val="32061A05"/>
    <w:rsid w:val="33BF5E46"/>
    <w:rsid w:val="34220D72"/>
    <w:rsid w:val="353E7DCC"/>
    <w:rsid w:val="3565774C"/>
    <w:rsid w:val="384162B2"/>
    <w:rsid w:val="388402BB"/>
    <w:rsid w:val="389530C3"/>
    <w:rsid w:val="396275C9"/>
    <w:rsid w:val="3AA77762"/>
    <w:rsid w:val="3ABE55BC"/>
    <w:rsid w:val="3B3F60D6"/>
    <w:rsid w:val="3CE64969"/>
    <w:rsid w:val="3DB17B58"/>
    <w:rsid w:val="3EFE4F04"/>
    <w:rsid w:val="3F774C49"/>
    <w:rsid w:val="3F7D11E7"/>
    <w:rsid w:val="40316619"/>
    <w:rsid w:val="407402ED"/>
    <w:rsid w:val="40C31DDB"/>
    <w:rsid w:val="40D22831"/>
    <w:rsid w:val="415C647B"/>
    <w:rsid w:val="420471ED"/>
    <w:rsid w:val="42BF01E1"/>
    <w:rsid w:val="42DE7155"/>
    <w:rsid w:val="436367BB"/>
    <w:rsid w:val="45576965"/>
    <w:rsid w:val="46142CB3"/>
    <w:rsid w:val="486C745B"/>
    <w:rsid w:val="48D627DA"/>
    <w:rsid w:val="48F8516A"/>
    <w:rsid w:val="49845AFF"/>
    <w:rsid w:val="498F2A8D"/>
    <w:rsid w:val="499C2410"/>
    <w:rsid w:val="49F45AA1"/>
    <w:rsid w:val="4AFC7736"/>
    <w:rsid w:val="4C870E1A"/>
    <w:rsid w:val="4CC20FEF"/>
    <w:rsid w:val="4CF47481"/>
    <w:rsid w:val="4E4A72D8"/>
    <w:rsid w:val="4E6A30E9"/>
    <w:rsid w:val="4EB84AF9"/>
    <w:rsid w:val="4F1212D6"/>
    <w:rsid w:val="4F2A175F"/>
    <w:rsid w:val="4F8A2E4A"/>
    <w:rsid w:val="515B7005"/>
    <w:rsid w:val="515C2646"/>
    <w:rsid w:val="521C49FE"/>
    <w:rsid w:val="539C711E"/>
    <w:rsid w:val="54975B26"/>
    <w:rsid w:val="573F7927"/>
    <w:rsid w:val="57CA1312"/>
    <w:rsid w:val="57DE1F88"/>
    <w:rsid w:val="58DC6C8C"/>
    <w:rsid w:val="58EE0EC7"/>
    <w:rsid w:val="5A9A2701"/>
    <w:rsid w:val="5BED1104"/>
    <w:rsid w:val="5DEA5EBD"/>
    <w:rsid w:val="5E7534B5"/>
    <w:rsid w:val="5F7A2F05"/>
    <w:rsid w:val="603F23D0"/>
    <w:rsid w:val="60E2280D"/>
    <w:rsid w:val="61737BB4"/>
    <w:rsid w:val="65A035D5"/>
    <w:rsid w:val="67B4018F"/>
    <w:rsid w:val="68B3609C"/>
    <w:rsid w:val="69086E50"/>
    <w:rsid w:val="696F5CB8"/>
    <w:rsid w:val="69B06814"/>
    <w:rsid w:val="6A6B3847"/>
    <w:rsid w:val="6A870DE5"/>
    <w:rsid w:val="6AF60493"/>
    <w:rsid w:val="6EA97CF4"/>
    <w:rsid w:val="70D51CC5"/>
    <w:rsid w:val="71810367"/>
    <w:rsid w:val="72E27A43"/>
    <w:rsid w:val="73705095"/>
    <w:rsid w:val="738C36AE"/>
    <w:rsid w:val="74F6636A"/>
    <w:rsid w:val="761256DA"/>
    <w:rsid w:val="763C4DC7"/>
    <w:rsid w:val="76C27D0D"/>
    <w:rsid w:val="76CC1EC8"/>
    <w:rsid w:val="774A3AA9"/>
    <w:rsid w:val="78327615"/>
    <w:rsid w:val="789C485A"/>
    <w:rsid w:val="7A812E31"/>
    <w:rsid w:val="7AAD387D"/>
    <w:rsid w:val="7AE04020"/>
    <w:rsid w:val="7C342604"/>
    <w:rsid w:val="7CC7240A"/>
    <w:rsid w:val="7CD91912"/>
    <w:rsid w:val="7CFC075B"/>
    <w:rsid w:val="7D2D00C4"/>
    <w:rsid w:val="7DCA0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方正简体小标送" w:cs="Times New Roman"/>
      <w:b/>
      <w:bCs/>
      <w:kern w:val="44"/>
      <w:sz w:val="44"/>
      <w:szCs w:val="44"/>
    </w:rPr>
  </w:style>
  <w:style w:type="paragraph" w:styleId="2">
    <w:name w:val="heading 3"/>
    <w:basedOn w:val="1"/>
    <w:next w:val="1"/>
    <w:unhideWhenUsed/>
    <w:qFormat/>
    <w:uiPriority w:val="0"/>
    <w:pPr>
      <w:spacing w:before="104" w:beforeLines="0" w:after="104" w:afterLines="0"/>
      <w:outlineLvl w:val="2"/>
    </w:p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rPr>
      <w:smallCaps/>
      <w:szCs w:val="20"/>
    </w:rPr>
  </w:style>
  <w:style w:type="character" w:customStyle="1" w:styleId="9">
    <w:name w:val="fontstyle11"/>
    <w:basedOn w:val="8"/>
    <w:qFormat/>
    <w:uiPriority w:val="0"/>
    <w:rPr>
      <w:rFonts w:ascii="仿宋_GB2312" w:eastAsia="仿宋_GB2312" w:cs="仿宋_GB2312"/>
      <w:color w:val="000000"/>
      <w:sz w:val="32"/>
      <w:szCs w:val="32"/>
    </w:rPr>
  </w:style>
  <w:style w:type="character" w:customStyle="1" w:styleId="10">
    <w:name w:val="fontstyle01"/>
    <w:basedOn w:val="8"/>
    <w:qFormat/>
    <w:uiPriority w:val="0"/>
    <w:rPr>
      <w:rFonts w:hint="eastAsia" w:ascii="宋体" w:hAnsi="宋体" w:eastAsia="宋体" w:cs="宋体"/>
      <w:color w:val="000000"/>
      <w:sz w:val="32"/>
      <w:szCs w:val="32"/>
    </w:rPr>
  </w:style>
  <w:style w:type="paragraph" w:customStyle="1" w:styleId="11">
    <w:name w:val="正文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fontstyle21"/>
    <w:basedOn w:val="8"/>
    <w:qFormat/>
    <w:uiPriority w:val="0"/>
    <w:rPr>
      <w:rFonts w:ascii="仿宋_GB2312" w:eastAsia="仿宋_GB2312" w:cs="仿宋_GB2312"/>
      <w:color w:val="000000"/>
      <w:sz w:val="32"/>
      <w:szCs w:val="32"/>
    </w:rPr>
  </w:style>
  <w:style w:type="paragraph" w:customStyle="1" w:styleId="14">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5">
    <w:name w:val="font21"/>
    <w:basedOn w:val="8"/>
    <w:qFormat/>
    <w:uiPriority w:val="0"/>
    <w:rPr>
      <w:rFonts w:hint="eastAsia" w:ascii="宋体" w:hAnsi="宋体" w:eastAsia="宋体" w:cs="宋体"/>
      <w:color w:val="000000"/>
      <w:sz w:val="22"/>
      <w:szCs w:val="22"/>
      <w:u w:val="none"/>
    </w:rPr>
  </w:style>
  <w:style w:type="character" w:customStyle="1" w:styleId="16">
    <w:name w:val="font31"/>
    <w:basedOn w:val="8"/>
    <w:qFormat/>
    <w:uiPriority w:val="0"/>
    <w:rPr>
      <w:rFonts w:hint="eastAsia" w:ascii="宋体" w:hAnsi="宋体" w:eastAsia="宋体" w:cs="宋体"/>
      <w:b/>
      <w:color w:val="000000"/>
      <w:sz w:val="22"/>
      <w:szCs w:val="22"/>
      <w:u w:val="none"/>
    </w:rPr>
  </w:style>
  <w:style w:type="paragraph" w:customStyle="1" w:styleId="17">
    <w:name w:val="正文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区经济和科技促进局</Company>
  <Pages>8</Pages>
  <Words>2675</Words>
  <Characters>2707</Characters>
  <Lines>0</Lines>
  <Paragraphs>0</Paragraphs>
  <TotalTime>7</TotalTime>
  <ScaleCrop>false</ScaleCrop>
  <LinksUpToDate>false</LinksUpToDate>
  <CharactersWithSpaces>3191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2021-01-11T04:31:00Z</dcterms:created>
  <dc:creator>冯艳</dc:creator>
  <cp:lastModifiedBy>Via</cp:lastModifiedBy>
  <cp:lastPrinted>2023-12-05T09:32:00Z</cp:lastPrinted>
  <dcterms:modified xsi:type="dcterms:W3CDTF">2024-03-06T03:16:20Z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CF881EA642364F4AAAC0E6B6997B851A_13</vt:lpwstr>
  </property>
</Properties>
</file>