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384" w:beforeLines="0" w:after="192" w:afterLines="0"/>
        <w:ind w:firstLine="542" w:firstLineChars="150"/>
        <w:rPr>
          <w:rFonts w:ascii="Times New Roman" w:hAnsi="Times New Roman"/>
          <w:color w:val="auto"/>
        </w:rPr>
      </w:pPr>
      <w:bookmarkStart w:id="1" w:name="_GoBack"/>
      <w:r>
        <w:rPr>
          <w:rFonts w:hint="eastAsia" w:ascii="Times New Roman" w:hAnsi="Times New Roman"/>
          <w:color w:val="auto"/>
        </w:rPr>
        <w:t>外商投资企业设立登记提交材料规范</w:t>
      </w:r>
    </w:p>
    <w:bookmarkEnd w:id="1"/>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1．《公司登记（备案）申请书》（外商投资的公司填写）/《非公司外资企业登记（备案）申请书》（非公司外商投资企业填写）。</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2．公司章程、合同（合同仅限于依照《外资企业法》、《中外合作经营企业法》等法规申请设立的非公司外商投资企业提供）。公司章程、合同需投资各方法定代表人或其授权人签字、各投资方盖章的原件，投资者为自然人的由本人签字。涉及外商投资准入特别管理措施的企业应提交审批部门审批后的公司章程、合同。</w:t>
      </w:r>
    </w:p>
    <w:p>
      <w:pPr>
        <w:spacing w:line="600" w:lineRule="exact"/>
        <w:ind w:firstLine="640" w:firstLineChars="200"/>
        <w:rPr>
          <w:rFonts w:eastAsia="仿宋_GB2312"/>
          <w:color w:val="auto"/>
          <w:sz w:val="32"/>
          <w:szCs w:val="32"/>
        </w:rPr>
      </w:pPr>
      <w:r>
        <w:rPr>
          <w:rFonts w:hint="eastAsia" w:eastAsia="仿宋_GB2312"/>
          <w:color w:val="auto"/>
          <w:sz w:val="32"/>
          <w:szCs w:val="32"/>
        </w:rPr>
        <w:t>3．投资者的主体资格证明或自然人身份证明。</w:t>
      </w:r>
    </w:p>
    <w:p>
      <w:pPr>
        <w:spacing w:line="600" w:lineRule="exact"/>
        <w:ind w:firstLine="640" w:firstLineChars="200"/>
        <w:rPr>
          <w:rFonts w:eastAsia="仿宋_GB2312"/>
          <w:color w:val="auto"/>
          <w:sz w:val="32"/>
          <w:szCs w:val="32"/>
        </w:rPr>
      </w:pPr>
      <w:bookmarkStart w:id="0" w:name="_Hlk1960946"/>
      <w:r>
        <w:rPr>
          <w:rFonts w:hint="eastAsia" w:eastAsia="仿宋_GB2312"/>
          <w:color w:val="auto"/>
          <w:sz w:val="32"/>
          <w:szCs w:val="32"/>
        </w:rPr>
        <w:t xml:space="preserve">◆ </w:t>
      </w:r>
      <w:bookmarkEnd w:id="0"/>
      <w:r>
        <w:rPr>
          <w:rFonts w:hint="eastAsia" w:eastAsia="仿宋_GB2312"/>
          <w:color w:val="auto"/>
          <w:sz w:val="32"/>
          <w:szCs w:val="32"/>
        </w:rPr>
        <w:t>中方投资者应提交由本单位加盖公章的营业执照/事业单位法人登记证书/社会团体法人登记证/民办非企业单位证书复印件作为主体资格证明。</w:t>
      </w:r>
    </w:p>
    <w:p>
      <w:pPr>
        <w:spacing w:line="600" w:lineRule="exact"/>
        <w:ind w:firstLine="640" w:firstLineChars="200"/>
        <w:rPr>
          <w:rFonts w:eastAsia="仿宋_GB2312"/>
          <w:color w:val="auto"/>
          <w:sz w:val="32"/>
          <w:szCs w:val="32"/>
        </w:rPr>
      </w:pPr>
      <w:r>
        <w:rPr>
          <w:rFonts w:hint="eastAsia" w:eastAsia="仿宋_GB2312"/>
          <w:color w:val="auto"/>
          <w:sz w:val="32"/>
          <w:szCs w:val="32"/>
        </w:rPr>
        <w:t>◆ 外国投资者的主体资格证明或身份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特别行政区、澳门特别行政区和台湾地区投资者的主体资格证明或身份证明应当按照专项规定或协议依法提供当地公证机构的公证文件。</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（1）外国自然人提交的身份证明文件为护照，且该护照已经我国出入境管理部门确认并办妥签证和入境手续的，免于提交公证、认证文件，只需提交经申请人签字确认与原件一致的复印件。</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2）香港特别行政区、澳门特别行政区居民可提交护照或港澳居民来往内地通行证，以及有效入境证明的复印件作为身份证明，免于提交公证、认证文件；台湾地区居民可凭其所在地真实有效的身份证明，以及有效入境证明的复印件办理登记作为身份证明，免于提交公证、认证文件。</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港澳台居民可提交依据《港澳台居民居住证申领发放办法》取得的中华人民共和国港澳居民居住证、中华人民共和国台湾居民居住证作为身份证明，无须提交公证、认证文件。</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4．法定代表人、董事/联合管理委员会委员、监事和经理的任职文件及身份证件复印件（外商投资的公司提交董事的任职文件，非公司外商投资企业提交董事或者联合管理委员会委员的任职文件）。</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5．住所（经营场所）使用证明，按具体情况提交材料；地级以上市人民政府就住所、经营场所证明材料作出具体规定的，从其规定。</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 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 使用宾馆、饭店的，提交房屋租赁协议和宾馆、饭店的营业执照复印件。</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 使用军队房产的，提交《军队房地产使用许可证》复印件。</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地级以上市人民政府对增设经营场所、多个商事主体共用同一地址以及将住宅作为住所、经营场所的条件作出具体规定的，从其规定。</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地级以上市人民政府公布经营场所禁设区域目录的，商事主体不得以禁设区域目录所列的场所作为住所、经营场所。</w:t>
      </w:r>
    </w:p>
    <w:p>
      <w:pPr>
        <w:spacing w:line="600" w:lineRule="exact"/>
        <w:ind w:firstLine="640" w:firstLineChars="200"/>
        <w:rPr>
          <w:rFonts w:eastAsia="仿宋_GB2312"/>
          <w:color w:val="auto"/>
          <w:sz w:val="32"/>
          <w:szCs w:val="32"/>
        </w:rPr>
      </w:pPr>
      <w:r>
        <w:rPr>
          <w:rFonts w:hint="eastAsia" w:eastAsia="仿宋_GB2312"/>
          <w:color w:val="auto"/>
          <w:sz w:val="32"/>
          <w:szCs w:val="32"/>
        </w:rPr>
        <w:t>6．发起设立的股份有限公司提交由会议主持人及出席会议的董事签署的股东大会会议记录，募集设立的股份有限公司提交创立大会的会议记录。（可以与第4项材料合并提交）</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7．募集设立的股份有限公司提交依法设立的验资机构出具的验资证明。涉及发起人首次出资是非货币财产的，提交已办理财产权转移手续的证明文件。</w:t>
      </w:r>
    </w:p>
    <w:p>
      <w:pPr>
        <w:spacing w:line="600" w:lineRule="exact"/>
        <w:ind w:firstLine="640" w:firstLineChars="200"/>
        <w:rPr>
          <w:rFonts w:hint="eastAsia" w:eastAsia="仿宋_GB2312"/>
          <w:color w:val="auto"/>
          <w:sz w:val="32"/>
          <w:szCs w:val="32"/>
        </w:rPr>
      </w:pPr>
      <w:r>
        <w:rPr>
          <w:rFonts w:eastAsia="仿宋_GB2312"/>
          <w:color w:val="auto"/>
          <w:sz w:val="32"/>
          <w:szCs w:val="32"/>
        </w:rPr>
        <w:t>8</w:t>
      </w:r>
      <w:r>
        <w:rPr>
          <w:rFonts w:hint="eastAsia" w:eastAsia="仿宋_GB2312"/>
          <w:color w:val="auto"/>
          <w:sz w:val="32"/>
          <w:szCs w:val="32"/>
        </w:rPr>
        <w:t>．募集方式设立的股份有限公司公开发行股票的，提交国务院证券监督管理机构的核准文件原件或有效复印件。</w:t>
      </w:r>
    </w:p>
    <w:p>
      <w:pPr>
        <w:spacing w:line="600" w:lineRule="exact"/>
        <w:ind w:firstLine="640" w:firstLineChars="200"/>
        <w:rPr>
          <w:rFonts w:hint="eastAsia" w:eastAsia="仿宋_GB2312"/>
          <w:color w:val="auto"/>
          <w:sz w:val="32"/>
          <w:szCs w:val="32"/>
        </w:rPr>
      </w:pPr>
      <w:r>
        <w:rPr>
          <w:rFonts w:eastAsia="仿宋_GB2312"/>
          <w:color w:val="auto"/>
          <w:sz w:val="32"/>
          <w:szCs w:val="32"/>
        </w:rPr>
        <w:t>9</w:t>
      </w:r>
      <w:r>
        <w:rPr>
          <w:rFonts w:hint="eastAsia" w:eastAsia="仿宋_GB2312"/>
          <w:color w:val="auto"/>
          <w:sz w:val="32"/>
          <w:szCs w:val="32"/>
        </w:rPr>
        <w:t>．外国投资者的资信证明（仅限于非公司外商投资企业提供）。即资本信用证明书，由与该外国投资者有业务往来的金融机构出具。</w:t>
      </w:r>
    </w:p>
    <w:p>
      <w:pPr>
        <w:spacing w:line="600" w:lineRule="exact"/>
        <w:ind w:firstLine="640" w:firstLineChars="200"/>
        <w:rPr>
          <w:rFonts w:eastAsia="仿宋_GB2312"/>
          <w:color w:val="auto"/>
          <w:sz w:val="32"/>
          <w:szCs w:val="32"/>
        </w:rPr>
      </w:pPr>
      <w:r>
        <w:rPr>
          <w:rFonts w:eastAsia="仿宋_GB2312"/>
          <w:color w:val="auto"/>
          <w:sz w:val="32"/>
          <w:szCs w:val="32"/>
        </w:rPr>
        <w:t>10</w:t>
      </w:r>
      <w:r>
        <w:rPr>
          <w:rFonts w:hint="eastAsia" w:eastAsia="仿宋_GB2312"/>
          <w:color w:val="auto"/>
          <w:sz w:val="32"/>
          <w:szCs w:val="32"/>
        </w:rPr>
        <w:t>．审批机关的批准文件（批复和批准证书副本1）或备案文件（仅限于涉及外商投资准入特别管理措施的企业提供）。</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 涉及境内公司、企业或自然人以其在境外合法设立或控制的公司并购与其有关联关系的境内公司的，提交批准文件（批复和批准证书副本1）。</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 港澳服务提供者按CEPA服务贸易协议投资并享受CEPA优惠的公司，提交备案文件。</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“CEPA服务贸易协议”是指《〈内地与香港关于建立更紧密经贸关系的安排〉服务贸易协议》和《〈内地与澳门关于建立更紧密经贸关系的安排〉服务贸易协议》。</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 在中国（广东）自由贸易试验区内登记的外商投资企业，投资自由贸易试验区负面清单内项目的，提交商务主管部门的批准文件；投资自由贸易试验区负面清单外项目的，无需提交商务主管部门的批准文件（批复和批准证书副本1）。</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“自由贸易试验区负面清单”按《国务院办公厅关于印发自由贸易试验区外商投资准入特别管理措施（负面清单）的通知》（国办发〔2017〕51号）执行。</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 证券业、保险业的公司，银行业金融机构、非银行业金融机构仅需提交监管部门的批准文件。</w:t>
      </w:r>
    </w:p>
    <w:p>
      <w:pPr>
        <w:spacing w:line="600" w:lineRule="exact"/>
        <w:ind w:firstLine="640" w:firstLineChars="200"/>
        <w:rPr>
          <w:rFonts w:eastAsia="仿宋_GB2312"/>
          <w:color w:val="auto"/>
          <w:sz w:val="32"/>
          <w:szCs w:val="32"/>
        </w:rPr>
      </w:pPr>
      <w:r>
        <w:rPr>
          <w:rFonts w:hint="eastAsia" w:eastAsia="仿宋_GB2312"/>
          <w:color w:val="auto"/>
          <w:sz w:val="32"/>
          <w:szCs w:val="32"/>
        </w:rPr>
        <w:t>1</w:t>
      </w:r>
      <w:r>
        <w:rPr>
          <w:rFonts w:eastAsia="仿宋_GB2312"/>
          <w:color w:val="auto"/>
          <w:sz w:val="32"/>
          <w:szCs w:val="32"/>
        </w:rPr>
        <w:t>1</w:t>
      </w:r>
      <w:r>
        <w:rPr>
          <w:rFonts w:hint="eastAsia" w:eastAsia="仿宋_GB2312"/>
          <w:color w:val="auto"/>
          <w:sz w:val="32"/>
          <w:szCs w:val="32"/>
        </w:rPr>
        <w:t>．批准文件或者许可证件的复印件（仅限于申请登记的经营范围中有法律、行政法规和国务院决定规定必须在登记前报经批准的项目的企业提供）。</w:t>
      </w:r>
    </w:p>
    <w:p>
      <w:pPr>
        <w:spacing w:line="600" w:lineRule="exact"/>
        <w:ind w:firstLine="640" w:firstLineChars="200"/>
        <w:rPr>
          <w:rFonts w:hint="eastAsia" w:eastAsia="仿宋_GB2312"/>
          <w:color w:val="auto"/>
          <w:sz w:val="32"/>
          <w:szCs w:val="32"/>
        </w:rPr>
      </w:pPr>
      <w:r>
        <w:rPr>
          <w:rFonts w:eastAsia="仿宋_GB2312"/>
          <w:color w:val="auto"/>
          <w:sz w:val="32"/>
          <w:szCs w:val="32"/>
        </w:rPr>
        <w:t>12</w:t>
      </w:r>
      <w:r>
        <w:rPr>
          <w:rFonts w:hint="eastAsia" w:eastAsia="仿宋_GB2312"/>
          <w:color w:val="auto"/>
          <w:sz w:val="32"/>
          <w:szCs w:val="32"/>
        </w:rPr>
        <w:t>．涉及名称登记的，根据具体情况提交材料。名称依法须经国家市场监督管理总局预先登记的，由企业登记机关向国家市场监督管理总局申报。</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 通过企业名称自主申报服务系统成功申报企业名称的，提交《企业名称自主申报使用信用承诺书》和《企业名称自主申报告知书》。</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 名称使用了其他非营利法人简称或者特定称谓的，还需提交与该非营利法人有投资关系或者经该非营利法人授权的证明。</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 名称使用了另一个企业名称的简称或者特定称谓的，还需提交与该企业有投资关系或者经该企业授权的证明。</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 名称使用了国家市场监督管理总局曾经给予驰名商标保护的规范汉字作为同行业企业名称的字号的，还需提交该驰名商标持有人的授权书。</w:t>
      </w:r>
    </w:p>
    <w:p>
      <w:pPr>
        <w:spacing w:line="600" w:lineRule="exact"/>
        <w:ind w:firstLine="640" w:firstLineChars="200"/>
        <w:rPr>
          <w:rFonts w:hint="eastAsia" w:eastAsia="仿宋_GB2312"/>
          <w:color w:val="auto"/>
          <w:sz w:val="32"/>
          <w:szCs w:val="32"/>
        </w:rPr>
      </w:pPr>
      <w:r>
        <w:rPr>
          <w:rFonts w:hint="eastAsia" w:eastAsia="仿宋_GB2312"/>
          <w:color w:val="auto"/>
          <w:sz w:val="32"/>
          <w:szCs w:val="32"/>
        </w:rPr>
        <w:t>◆ 名称与他人登记在先的企业名称存在《广东省工商行政管理局推行企业名称自主申报服务实施办法》第十八条第（三）项、第（四）项、第（五）项和第（六）项情形且有投资关系的，申请人还需提交与他人登记在先的企业有投资关系的证明或者他人登记在先的企业的授权文件。</w:t>
      </w:r>
    </w:p>
    <w:p>
      <w:pPr>
        <w:pStyle w:val="8"/>
        <w:ind w:left="600"/>
        <w:rPr>
          <w:rFonts w:ascii="Times New Roman"/>
          <w:color w:val="auto"/>
        </w:rPr>
      </w:pPr>
      <w:r>
        <w:rPr>
          <w:rFonts w:ascii="Times New Roman"/>
          <w:color w:val="auto"/>
        </w:rPr>
        <w:t>注：</w:t>
      </w:r>
    </w:p>
    <w:p>
      <w:pPr>
        <w:spacing w:line="600" w:lineRule="exact"/>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依照《公司法》、《中外合资经营企业法》、《外资企业法》、《中外合作经营企业法》等法规，申请设立外商投资有限责任公司、外商投资股份有限公司和非公司外商投资企业适用本规范。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B423F"/>
    <w:rsid w:val="792B42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宋体" w:hAnsi="Courier New"/>
      <w:sz w:val="144"/>
    </w:rPr>
  </w:style>
  <w:style w:type="paragraph" w:customStyle="1" w:styleId="5">
    <w:name w:val="04C-材料标题"/>
    <w:basedOn w:val="6"/>
    <w:qFormat/>
    <w:uiPriority w:val="0"/>
    <w:pPr>
      <w:spacing w:before="312" w:beforeLines="100" w:after="156" w:afterLines="50" w:line="600" w:lineRule="exact"/>
      <w:jc w:val="left"/>
    </w:pPr>
  </w:style>
  <w:style w:type="paragraph" w:customStyle="1" w:styleId="6">
    <w:name w:val="04B-文书标题"/>
    <w:basedOn w:val="7"/>
    <w:uiPriority w:val="0"/>
    <w:pPr>
      <w:spacing w:after="192" w:afterLines="0"/>
    </w:pPr>
  </w:style>
  <w:style w:type="paragraph" w:customStyle="1" w:styleId="7">
    <w:name w:val="02-标题1"/>
    <w:basedOn w:val="2"/>
    <w:uiPriority w:val="0"/>
    <w:pPr>
      <w:spacing w:after="156" w:afterLines="50" w:line="500" w:lineRule="exact"/>
      <w:jc w:val="center"/>
    </w:pPr>
    <w:rPr>
      <w:rFonts w:hAnsi="宋体"/>
      <w:b/>
      <w:sz w:val="36"/>
      <w:szCs w:val="36"/>
    </w:rPr>
  </w:style>
  <w:style w:type="paragraph" w:customStyle="1" w:styleId="8">
    <w:name w:val="05B-材料说明标题"/>
    <w:basedOn w:val="9"/>
    <w:qFormat/>
    <w:uiPriority w:val="0"/>
    <w:pPr>
      <w:spacing w:after="0" w:afterLines="0"/>
      <w:jc w:val="left"/>
    </w:pPr>
    <w:rPr>
      <w:rFonts w:ascii="楷体_GB2312" w:eastAsia="楷体_GB2312"/>
      <w:sz w:val="32"/>
      <w:szCs w:val="32"/>
    </w:rPr>
  </w:style>
  <w:style w:type="paragraph" w:customStyle="1" w:styleId="9">
    <w:name w:val="05-说明标题"/>
    <w:basedOn w:val="10"/>
    <w:uiPriority w:val="0"/>
    <w:pPr>
      <w:spacing w:after="156" w:afterLines="50" w:line="600" w:lineRule="exact"/>
      <w:jc w:val="center"/>
    </w:pPr>
    <w:rPr>
      <w:b/>
      <w:sz w:val="36"/>
    </w:rPr>
  </w:style>
  <w:style w:type="paragraph" w:customStyle="1" w:styleId="10">
    <w:name w:val="正文 New"/>
    <w:qFormat/>
    <w:uiPriority w:val="0"/>
    <w:pPr>
      <w:widowControl w:val="0"/>
      <w:jc w:val="both"/>
    </w:pPr>
    <w:rPr>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区市场监督管理局（工商）</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2020-05-07T01:24:00Z</dcterms:created>
  <dc:creator>郑婉君</dc:creator>
  <cp:lastModifiedBy>郑婉君</cp:lastModifiedBy>
  <dcterms:modified xsi:type="dcterms:W3CDTF">2020-05-07T01:24:56Z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